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79E8" w14:textId="7D740B34" w:rsidR="00D01349" w:rsidRDefault="00D01349" w:rsidP="0098233E">
      <w:pPr>
        <w:pStyle w:val="MajorHeadingCentre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C5416" wp14:editId="6E75CBDF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249680" cy="1249680"/>
            <wp:effectExtent l="0" t="0" r="7620" b="7620"/>
            <wp:wrapTopAndBottom/>
            <wp:docPr id="2" name="Picture 2" descr="Duke of Edinburgh's GOLD Award - DofE | SDC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ke of Edinburgh's GOLD Award - DofE | SDC Online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EE33D" w14:textId="77777777" w:rsidR="0038288C" w:rsidRDefault="005423FF" w:rsidP="0098233E">
      <w:pPr>
        <w:pStyle w:val="MajorHeadingCentr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Template </w:t>
      </w:r>
      <w:r w:rsidR="0098233E" w:rsidRPr="00A528CB">
        <w:rPr>
          <w:rFonts w:ascii="Arial" w:hAnsi="Arial" w:cs="Arial"/>
          <w:color w:val="auto"/>
        </w:rPr>
        <w:t>DofE Delivery Calendar</w:t>
      </w:r>
    </w:p>
    <w:p w14:paraId="0DBCA410" w14:textId="615A0A02" w:rsidR="0098233E" w:rsidRPr="00A528CB" w:rsidRDefault="008A216C" w:rsidP="0098233E">
      <w:pPr>
        <w:pStyle w:val="MajorHeadingCentre"/>
        <w:rPr>
          <w:rFonts w:ascii="Arial" w:hAnsi="Arial" w:cs="Arial"/>
          <w:color w:val="auto"/>
        </w:rPr>
      </w:pPr>
      <w:r w:rsidRPr="00A528CB">
        <w:rPr>
          <w:rFonts w:ascii="Arial" w:hAnsi="Arial" w:cs="Arial"/>
          <w:color w:val="auto"/>
        </w:rPr>
        <w:t>Bronze</w:t>
      </w:r>
    </w:p>
    <w:p w14:paraId="18EEB1C9" w14:textId="77777777" w:rsidR="0098233E" w:rsidRPr="00A528CB" w:rsidRDefault="0098233E" w:rsidP="0098233E">
      <w:pPr>
        <w:pStyle w:val="MajorHeadingCentre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9654" w:type="dxa"/>
        <w:tblInd w:w="-176" w:type="dxa"/>
        <w:tblLook w:val="01E0" w:firstRow="1" w:lastRow="1" w:firstColumn="1" w:lastColumn="1" w:noHBand="0" w:noVBand="0"/>
      </w:tblPr>
      <w:tblGrid>
        <w:gridCol w:w="879"/>
        <w:gridCol w:w="879"/>
        <w:gridCol w:w="3948"/>
        <w:gridCol w:w="3948"/>
      </w:tblGrid>
      <w:tr w:rsidR="008A216C" w:rsidRPr="00A528CB" w14:paraId="43D868E6" w14:textId="77777777" w:rsidTr="001B1847">
        <w:trPr>
          <w:trHeight w:val="108"/>
        </w:trPr>
        <w:tc>
          <w:tcPr>
            <w:tcW w:w="1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739CC" w14:textId="77777777" w:rsidR="008A216C" w:rsidRPr="00A528CB" w:rsidRDefault="008A216C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Autumn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10F6B" w14:textId="5450CEDB" w:rsidR="008A216C" w:rsidRPr="00A528CB" w:rsidRDefault="008A216C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Bronze</w:t>
            </w:r>
            <w:r w:rsidR="001B1847" w:rsidRPr="00A528CB">
              <w:rPr>
                <w:rFonts w:cs="Arial"/>
                <w:color w:val="auto"/>
                <w:sz w:val="15"/>
                <w:szCs w:val="15"/>
              </w:rPr>
              <w:t xml:space="preserve"> – </w:t>
            </w:r>
            <w:r w:rsidR="007F727B">
              <w:rPr>
                <w:rFonts w:cs="Arial"/>
                <w:color w:val="auto"/>
                <w:sz w:val="15"/>
                <w:szCs w:val="15"/>
              </w:rPr>
              <w:t>new cohort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93A36" w14:textId="623C6511" w:rsidR="008A216C" w:rsidRPr="00A528CB" w:rsidRDefault="001B1847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 w:rsidR="007F727B"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 w:rsidR="007F727B"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8A216C" w:rsidRPr="00A528CB" w14:paraId="2363CC16" w14:textId="77777777" w:rsidTr="001B1847">
        <w:trPr>
          <w:trHeight w:val="108"/>
        </w:trPr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3D1DBD" w14:textId="02E92FDB" w:rsidR="008A216C" w:rsidRPr="00A528CB" w:rsidRDefault="00E81375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Aug/</w:t>
            </w:r>
            <w:r w:rsidR="008A216C" w:rsidRPr="00A528CB">
              <w:rPr>
                <w:rFonts w:cs="Arial"/>
                <w:b/>
                <w:color w:val="auto"/>
                <w:sz w:val="15"/>
                <w:szCs w:val="15"/>
              </w:rPr>
              <w:t>Sept</w:t>
            </w:r>
          </w:p>
        </w:tc>
        <w:tc>
          <w:tcPr>
            <w:tcW w:w="8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AC1DD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A1BF9" w14:textId="4A9CA75C" w:rsidR="008A216C" w:rsidRPr="00A528CB" w:rsidRDefault="005140D6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Assembly/meeting </w:t>
            </w:r>
            <w:r w:rsidR="00057F30" w:rsidRPr="00A528CB">
              <w:rPr>
                <w:rFonts w:cs="Arial"/>
                <w:color w:val="auto"/>
                <w:sz w:val="15"/>
                <w:szCs w:val="15"/>
              </w:rPr>
              <w:t>(possibly virtually)</w:t>
            </w:r>
            <w:r w:rsidR="008A216C" w:rsidRPr="00A528CB">
              <w:rPr>
                <w:rFonts w:cs="Arial"/>
                <w:color w:val="auto"/>
                <w:sz w:val="15"/>
                <w:szCs w:val="15"/>
              </w:rPr>
              <w:t xml:space="preserve"> to promote the Bronze Award to</w:t>
            </w:r>
            <w:r w:rsidR="00331A8D" w:rsidRPr="00A528CB">
              <w:rPr>
                <w:rFonts w:cs="Arial"/>
                <w:color w:val="auto"/>
                <w:sz w:val="15"/>
                <w:szCs w:val="15"/>
              </w:rPr>
              <w:t xml:space="preserve"> the new cohort of</w:t>
            </w:r>
            <w:r w:rsidR="008A216C" w:rsidRPr="00A528CB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 w:rsidR="00331A8D" w:rsidRPr="00A528CB">
              <w:rPr>
                <w:rFonts w:cs="Arial"/>
                <w:color w:val="auto"/>
                <w:sz w:val="15"/>
                <w:szCs w:val="15"/>
              </w:rPr>
              <w:t>participants</w:t>
            </w:r>
            <w:r w:rsidR="008A216C" w:rsidRPr="00A528CB">
              <w:rPr>
                <w:rFonts w:cs="Arial"/>
                <w:color w:val="auto"/>
                <w:sz w:val="15"/>
                <w:szCs w:val="15"/>
              </w:rPr>
              <w:t>.</w:t>
            </w:r>
            <w:r w:rsidR="00057F30" w:rsidRPr="00A528CB">
              <w:rPr>
                <w:rFonts w:cs="Arial"/>
                <w:color w:val="auto"/>
                <w:sz w:val="15"/>
                <w:szCs w:val="15"/>
              </w:rPr>
              <w:t xml:space="preserve"> See our Recruitment Toolkit for resources and ideas.</w:t>
            </w:r>
          </w:p>
          <w:p w14:paraId="45C382CC" w14:textId="77777777" w:rsidR="00057F30" w:rsidRPr="00A528CB" w:rsidRDefault="00057F30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4D9A93B3" w14:textId="77777777" w:rsidR="00057F30" w:rsidRPr="00A528CB" w:rsidRDefault="00057F30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Send out </w:t>
            </w:r>
            <w:r w:rsidR="00CD1E7D" w:rsidRPr="00A528CB">
              <w:rPr>
                <w:rFonts w:cs="Arial"/>
                <w:color w:val="auto"/>
                <w:sz w:val="15"/>
                <w:szCs w:val="15"/>
              </w:rPr>
              <w:t>enrolment forms, letters and programme planners.</w:t>
            </w:r>
          </w:p>
          <w:p w14:paraId="18BB9E07" w14:textId="77777777" w:rsidR="009560E3" w:rsidRPr="00A528CB" w:rsidRDefault="009560E3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68DC0BD5" w14:textId="3E212600" w:rsidR="009560E3" w:rsidRPr="00A528CB" w:rsidRDefault="009560E3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7FD9A" w14:textId="41FE36A2" w:rsidR="008A216C" w:rsidRPr="00A528CB" w:rsidRDefault="005140D6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Assembly/meeting </w:t>
            </w:r>
            <w:r w:rsidR="00571596" w:rsidRPr="00A528CB">
              <w:rPr>
                <w:rFonts w:cs="Arial"/>
                <w:color w:val="auto"/>
                <w:sz w:val="15"/>
                <w:szCs w:val="15"/>
              </w:rPr>
              <w:t xml:space="preserve">(possibly virtually) to encourage participants to complete their Volunteering, Physical and Skills sections. </w:t>
            </w:r>
            <w:r w:rsidR="007D5123" w:rsidRPr="005D1283">
              <w:rPr>
                <w:rFonts w:cs="Arial"/>
                <w:color w:val="auto"/>
                <w:sz w:val="15"/>
                <w:szCs w:val="15"/>
              </w:rPr>
              <w:t>Remind them</w:t>
            </w:r>
            <w:r w:rsidR="007D5123">
              <w:rPr>
                <w:rFonts w:cs="Arial"/>
                <w:color w:val="auto"/>
                <w:sz w:val="15"/>
                <w:szCs w:val="15"/>
              </w:rPr>
              <w:t xml:space="preserve"> about the </w:t>
            </w:r>
            <w:r w:rsidR="007D5123" w:rsidRPr="005D1283">
              <w:rPr>
                <w:rFonts w:cs="Arial"/>
                <w:color w:val="auto"/>
                <w:sz w:val="15"/>
                <w:szCs w:val="15"/>
              </w:rPr>
              <w:t>DofE Certificate of Achievement</w:t>
            </w:r>
            <w:r w:rsidR="007D5123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14:paraId="0BDCFC2E" w14:textId="77777777" w:rsidR="007B6C85" w:rsidRPr="00A528CB" w:rsidRDefault="007B6C85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C140054" w14:textId="77777777" w:rsidR="007B6C85" w:rsidRDefault="007B6C85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Current participants could be involved in the launch to the new cohort e.g. sharing their experiences.</w:t>
            </w:r>
          </w:p>
          <w:p w14:paraId="5CBECE55" w14:textId="619429C9" w:rsidR="007D5123" w:rsidRPr="00A528CB" w:rsidRDefault="007D5123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7E4F043D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</w:tcBorders>
            <w:vAlign w:val="center"/>
          </w:tcPr>
          <w:p w14:paraId="46991C11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D69B3A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E0539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B06A4" w14:textId="6968BC68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0BE7D169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62887A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A94F3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105F2" w14:textId="3AFC08B6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Enrolment deadline.  Order Welcome Packs </w:t>
            </w:r>
            <w:r w:rsidR="00CD1E7D" w:rsidRPr="00A528CB">
              <w:rPr>
                <w:rFonts w:cs="Arial"/>
                <w:color w:val="auto"/>
                <w:sz w:val="15"/>
                <w:szCs w:val="15"/>
              </w:rPr>
              <w:t>and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 create participant accounts on eDofE.</w:t>
            </w:r>
          </w:p>
          <w:p w14:paraId="528DBE86" w14:textId="77777777" w:rsidR="00331A8D" w:rsidRPr="00A528CB" w:rsidRDefault="00331A8D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ADDDC53" w14:textId="05D0548C" w:rsidR="008A216C" w:rsidRPr="00A528CB" w:rsidRDefault="00571596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eDofE </w:t>
            </w:r>
            <w:r w:rsidR="008B54DC" w:rsidRPr="00A528CB">
              <w:rPr>
                <w:rFonts w:cs="Arial"/>
                <w:color w:val="auto"/>
                <w:sz w:val="15"/>
                <w:szCs w:val="15"/>
              </w:rPr>
              <w:t xml:space="preserve">drop in 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>sessions to allow participants time to enter basic information, choose activities and submit Programme Planners to Leader for approval.</w:t>
            </w:r>
            <w:r w:rsidR="001F7C26" w:rsidRPr="00A528CB">
              <w:rPr>
                <w:rFonts w:cs="Arial"/>
                <w:color w:val="auto"/>
                <w:sz w:val="15"/>
                <w:szCs w:val="15"/>
              </w:rPr>
              <w:t xml:space="preserve"> Drop in sessions could be run virtually.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A1399" w14:textId="53C826CE" w:rsidR="003C6F79" w:rsidRPr="00A528CB" w:rsidRDefault="003C6F79" w:rsidP="003C6F79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57D40CD" w14:textId="6E3493D4" w:rsidR="006142CB" w:rsidRPr="00A528CB" w:rsidRDefault="006142CB" w:rsidP="003C6F79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72182F4A" w14:textId="77777777" w:rsidR="006142CB" w:rsidRPr="00A528CB" w:rsidRDefault="006142CB" w:rsidP="003C6F79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68C79B7D" w14:textId="73F1BA4D" w:rsidR="008A216C" w:rsidRPr="00A528CB" w:rsidRDefault="003C6F7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Invite current participants to eDofE </w:t>
            </w:r>
            <w:r w:rsidR="008B54DC" w:rsidRPr="00A528CB">
              <w:rPr>
                <w:rFonts w:cs="Arial"/>
                <w:color w:val="auto"/>
                <w:sz w:val="15"/>
                <w:szCs w:val="15"/>
              </w:rPr>
              <w:t xml:space="preserve">drop in 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>sessions</w:t>
            </w:r>
            <w:r w:rsidR="006142CB" w:rsidRPr="00A528CB">
              <w:rPr>
                <w:rFonts w:cs="Arial"/>
                <w:color w:val="auto"/>
                <w:sz w:val="15"/>
                <w:szCs w:val="15"/>
              </w:rPr>
              <w:t xml:space="preserve"> and encourage them to add their own evidence and Assessor’s Reports.</w:t>
            </w:r>
            <w:r w:rsidR="001F7C26" w:rsidRPr="00A528CB">
              <w:rPr>
                <w:rFonts w:cs="Arial"/>
                <w:color w:val="auto"/>
                <w:sz w:val="15"/>
                <w:szCs w:val="15"/>
              </w:rPr>
              <w:t xml:space="preserve"> Drop in sessions could be run virtually.</w:t>
            </w:r>
          </w:p>
        </w:tc>
      </w:tr>
      <w:tr w:rsidR="008A216C" w:rsidRPr="00A528CB" w14:paraId="3A0D94B0" w14:textId="77777777" w:rsidTr="001B1847">
        <w:trPr>
          <w:trHeight w:val="108"/>
        </w:trPr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596DDA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Oct</w:t>
            </w:r>
          </w:p>
        </w:tc>
        <w:tc>
          <w:tcPr>
            <w:tcW w:w="8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833B1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3CB91" w14:textId="1DA13FE1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55158" w14:textId="3C45D1C4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5B19A260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</w:tcBorders>
            <w:vAlign w:val="center"/>
          </w:tcPr>
          <w:p w14:paraId="360DE74D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6F33C3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1A1EC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DABA7" w14:textId="5D8D0E10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475B946F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773238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E2CB0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54B70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BAB0D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7C70AB75" w14:textId="77777777" w:rsidTr="001B1847">
        <w:trPr>
          <w:trHeight w:val="108"/>
        </w:trPr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A37B3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Nov</w:t>
            </w:r>
          </w:p>
        </w:tc>
        <w:tc>
          <w:tcPr>
            <w:tcW w:w="8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78B8B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13235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FE582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4E3D264C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</w:tcBorders>
            <w:vAlign w:val="center"/>
          </w:tcPr>
          <w:p w14:paraId="096E9AE6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39128A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91FAE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1579C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512856EE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F308AE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0B13B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C2336" w14:textId="479E9F21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FB559" w14:textId="6D098E3A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</w:tr>
      <w:tr w:rsidR="008A216C" w:rsidRPr="00A528CB" w14:paraId="19ADD33C" w14:textId="77777777" w:rsidTr="001B1847">
        <w:trPr>
          <w:trHeight w:val="108"/>
        </w:trPr>
        <w:tc>
          <w:tcPr>
            <w:tcW w:w="8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9BD0C4" w14:textId="77777777" w:rsidR="008A216C" w:rsidRPr="00A528CB" w:rsidRDefault="008A216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Dec</w:t>
            </w:r>
          </w:p>
        </w:tc>
        <w:tc>
          <w:tcPr>
            <w:tcW w:w="8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A49CAF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BC93A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3A63D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A216C" w:rsidRPr="00A528CB" w14:paraId="3B3FA09F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</w:tcBorders>
            <w:vAlign w:val="center"/>
          </w:tcPr>
          <w:p w14:paraId="3C8D6FA7" w14:textId="77777777" w:rsidR="008A216C" w:rsidRPr="00A528CB" w:rsidRDefault="008A216C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011EC1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597B8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A643C" w14:textId="789A0D35" w:rsidR="008A216C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Before the end of term, celebrate those who have received their DofE Certificate of Achievement.</w:t>
            </w:r>
          </w:p>
        </w:tc>
      </w:tr>
      <w:tr w:rsidR="008A216C" w:rsidRPr="00A528CB" w14:paraId="1FC47F4B" w14:textId="77777777" w:rsidTr="001B1847">
        <w:trPr>
          <w:trHeight w:val="108"/>
        </w:trPr>
        <w:tc>
          <w:tcPr>
            <w:tcW w:w="8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01C2BD" w14:textId="77777777" w:rsidR="008A216C" w:rsidRPr="00A528CB" w:rsidRDefault="008A216C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8915F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DB2A5" w14:textId="7777777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B2234" w14:textId="1ED72BF7" w:rsidR="008A216C" w:rsidRPr="00A528CB" w:rsidRDefault="008A216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505425A1" w14:textId="77777777" w:rsidR="0098233E" w:rsidRPr="00A528CB" w:rsidRDefault="0098233E" w:rsidP="0098233E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6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78"/>
        <w:gridCol w:w="877"/>
        <w:gridCol w:w="3967"/>
        <w:gridCol w:w="3967"/>
      </w:tblGrid>
      <w:tr w:rsidR="00B977C8" w:rsidRPr="00A528CB" w14:paraId="678BAA3A" w14:textId="77777777" w:rsidTr="00827EA7">
        <w:trPr>
          <w:trHeight w:val="106"/>
        </w:trPr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B79FF" w14:textId="77777777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Spring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406AD" w14:textId="08514CCC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 cohort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0E8EC" w14:textId="287718BE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827EA7" w:rsidRPr="00A528CB" w14:paraId="0698D943" w14:textId="77777777" w:rsidTr="00827EA7">
        <w:trPr>
          <w:trHeight w:val="106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0E5333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Jan</w:t>
            </w:r>
          </w:p>
        </w:tc>
        <w:tc>
          <w:tcPr>
            <w:tcW w:w="8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ACD73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8B3C8" w14:textId="53D4680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Assembly</w:t>
            </w:r>
            <w:r w:rsidR="00FB130A" w:rsidRPr="00A528CB">
              <w:rPr>
                <w:rFonts w:cs="Arial"/>
                <w:color w:val="auto"/>
                <w:sz w:val="15"/>
                <w:szCs w:val="15"/>
              </w:rPr>
              <w:t xml:space="preserve"> (possibly </w:t>
            </w:r>
            <w:r w:rsidR="00DA3007" w:rsidRPr="00A528CB">
              <w:rPr>
                <w:rFonts w:cs="Arial"/>
                <w:color w:val="auto"/>
                <w:sz w:val="15"/>
                <w:szCs w:val="15"/>
              </w:rPr>
              <w:t>virtually)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 to encourage completion of Volunteering, Physical &amp; Skills sections prior to their Expedition.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5D4ED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00DFF3A2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</w:tcBorders>
            <w:vAlign w:val="center"/>
          </w:tcPr>
          <w:p w14:paraId="30D396B7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14:paraId="4049A6DF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3A249" w14:textId="3FCA409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5AC3B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32860EDE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9236B0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48D78E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22ADA" w14:textId="5756A6C5" w:rsidR="00827EA7" w:rsidRPr="00A528CB" w:rsidRDefault="00D5026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Encourage participants to get ahead with Expedition training by completing online modules</w:t>
            </w:r>
            <w:r w:rsidR="00B20621" w:rsidRPr="00A528CB">
              <w:rPr>
                <w:rFonts w:cs="Arial"/>
                <w:color w:val="auto"/>
                <w:sz w:val="15"/>
                <w:szCs w:val="15"/>
              </w:rPr>
              <w:t xml:space="preserve"> or remote/socially distanced tasks.</w:t>
            </w: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2E1A2" w14:textId="1C989A1A" w:rsidR="00827EA7" w:rsidRPr="00A528CB" w:rsidRDefault="00B20621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Encourage participants to refresh their Expedition training by completing online modules or remote/socially distanced tasks.</w:t>
            </w:r>
          </w:p>
        </w:tc>
      </w:tr>
      <w:tr w:rsidR="00827EA7" w:rsidRPr="00A528CB" w14:paraId="21824CFA" w14:textId="77777777" w:rsidTr="00827EA7">
        <w:trPr>
          <w:trHeight w:val="106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F5328A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Feb</w:t>
            </w:r>
          </w:p>
        </w:tc>
        <w:tc>
          <w:tcPr>
            <w:tcW w:w="8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A0B471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74ADC" w14:textId="6AE4A91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FC4C4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1926382C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</w:tcBorders>
            <w:vAlign w:val="center"/>
          </w:tcPr>
          <w:p w14:paraId="1ECFE817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14:paraId="290788F5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DE73D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C689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2604626D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45AB53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CA89F7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B710B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C8231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6F626FB7" w14:textId="77777777" w:rsidTr="00827EA7">
        <w:trPr>
          <w:trHeight w:val="106"/>
        </w:trPr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40AEFD" w14:textId="77777777" w:rsidR="00827EA7" w:rsidRPr="00A528CB" w:rsidRDefault="00827EA7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Mar</w:t>
            </w:r>
          </w:p>
        </w:tc>
        <w:tc>
          <w:tcPr>
            <w:tcW w:w="8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85ED02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26269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61337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827EA7" w:rsidRPr="00A528CB" w14:paraId="0C69160F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</w:tcBorders>
            <w:vAlign w:val="center"/>
          </w:tcPr>
          <w:p w14:paraId="2E64BDA9" w14:textId="77777777" w:rsidR="00827EA7" w:rsidRPr="00A528CB" w:rsidRDefault="00827EA7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14:paraId="69CCD1BC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63C8B" w14:textId="3CB906AF" w:rsidR="00827EA7" w:rsidRPr="00A528CB" w:rsidRDefault="00E956BA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Expedition training day (if not running regular catch ups e.g. after school sessions)</w:t>
            </w:r>
            <w:r w:rsidR="00B6566B" w:rsidRPr="00A528CB">
              <w:rPr>
                <w:rFonts w:cs="Arial"/>
                <w:color w:val="auto"/>
                <w:sz w:val="15"/>
                <w:szCs w:val="15"/>
              </w:rPr>
              <w:t>.</w:t>
            </w:r>
          </w:p>
        </w:tc>
        <w:tc>
          <w:tcPr>
            <w:tcW w:w="3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D7EAF" w14:textId="21422A6A" w:rsidR="00827EA7" w:rsidRPr="00A528CB" w:rsidRDefault="00E956BA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Expedition training day (if </w:t>
            </w:r>
            <w:r w:rsidR="00D16F78" w:rsidRPr="00A528CB">
              <w:rPr>
                <w:rFonts w:cs="Arial"/>
                <w:color w:val="auto"/>
                <w:sz w:val="15"/>
                <w:szCs w:val="15"/>
              </w:rPr>
              <w:t>required depending on the level of training completed the year before)</w:t>
            </w:r>
            <w:r w:rsidR="00B6566B" w:rsidRPr="00A528CB">
              <w:rPr>
                <w:rFonts w:cs="Arial"/>
                <w:color w:val="auto"/>
                <w:sz w:val="15"/>
                <w:szCs w:val="15"/>
              </w:rPr>
              <w:t>.</w:t>
            </w:r>
          </w:p>
        </w:tc>
      </w:tr>
      <w:tr w:rsidR="00827EA7" w:rsidRPr="00A528CB" w14:paraId="62BF54C8" w14:textId="77777777" w:rsidTr="00827EA7">
        <w:trPr>
          <w:trHeight w:val="106"/>
        </w:trPr>
        <w:tc>
          <w:tcPr>
            <w:tcW w:w="8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7FFB0B" w14:textId="77777777" w:rsidR="00827EA7" w:rsidRPr="00A528CB" w:rsidRDefault="00827EA7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CE944F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C8733" w14:textId="3FDBC12E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B639A" w14:textId="77777777" w:rsidR="00827EA7" w:rsidRPr="00A528CB" w:rsidRDefault="00827EA7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6124743D" w14:textId="77777777" w:rsidR="0098233E" w:rsidRPr="00A528CB" w:rsidRDefault="0098233E" w:rsidP="0098233E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725" w:type="dxa"/>
        <w:tblInd w:w="-176" w:type="dxa"/>
        <w:tblLook w:val="01E0" w:firstRow="1" w:lastRow="1" w:firstColumn="1" w:lastColumn="1" w:noHBand="0" w:noVBand="0"/>
      </w:tblPr>
      <w:tblGrid>
        <w:gridCol w:w="891"/>
        <w:gridCol w:w="892"/>
        <w:gridCol w:w="3971"/>
        <w:gridCol w:w="3971"/>
      </w:tblGrid>
      <w:tr w:rsidR="00B977C8" w:rsidRPr="00A528CB" w14:paraId="77FE5B63" w14:textId="77777777" w:rsidTr="00D16F78">
        <w:trPr>
          <w:trHeight w:val="107"/>
        </w:trPr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B8493" w14:textId="3A02D0D1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6"/>
                <w:szCs w:val="16"/>
              </w:rPr>
              <w:br w:type="page"/>
            </w:r>
            <w:r w:rsidRPr="00A528CB">
              <w:rPr>
                <w:rFonts w:cs="Arial"/>
                <w:color w:val="auto"/>
                <w:sz w:val="15"/>
                <w:szCs w:val="15"/>
              </w:rPr>
              <w:t>Summer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A02F2" w14:textId="26DE7B6F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 cohort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FEE62" w14:textId="5EC30688" w:rsidR="00B977C8" w:rsidRPr="00A528CB" w:rsidRDefault="00B977C8" w:rsidP="00B977C8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A528CB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D16F78" w:rsidRPr="00A528CB" w14:paraId="5AF0CC94" w14:textId="77777777" w:rsidTr="00B977C8">
        <w:trPr>
          <w:trHeight w:val="107"/>
        </w:trPr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04D79A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Apr</w:t>
            </w:r>
          </w:p>
        </w:tc>
        <w:tc>
          <w:tcPr>
            <w:tcW w:w="8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02BD9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F1C3D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B4C77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2EBD196D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</w:tcBorders>
            <w:vAlign w:val="center"/>
          </w:tcPr>
          <w:p w14:paraId="62E52ADF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0CAA9670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A0FF9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694C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2DBDD988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85415E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2973AA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7034B" w14:textId="71248935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63979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1BEEC188" w14:textId="77777777" w:rsidTr="00B977C8">
        <w:trPr>
          <w:trHeight w:val="107"/>
        </w:trPr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4EF0D9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May</w:t>
            </w:r>
          </w:p>
        </w:tc>
        <w:tc>
          <w:tcPr>
            <w:tcW w:w="8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7AA8BF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88127" w14:textId="2D9C1968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F7FE0" w14:textId="75883B73" w:rsidR="00D16F78" w:rsidRPr="00A528CB" w:rsidRDefault="00BB4251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Qualifying expedition (could be joint with new cohort depending on total numbers)</w:t>
            </w:r>
          </w:p>
        </w:tc>
      </w:tr>
      <w:tr w:rsidR="00D16F78" w:rsidRPr="00A528CB" w14:paraId="76BBC0C5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</w:tcBorders>
            <w:vAlign w:val="center"/>
          </w:tcPr>
          <w:p w14:paraId="31834DC2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154ACCAB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A70A5" w14:textId="1C8267C4" w:rsidR="00D16F78" w:rsidRPr="00A528CB" w:rsidRDefault="00BB4251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Qualifying expedition (could be joint with previous cohort depending on total numbers)</w:t>
            </w:r>
          </w:p>
        </w:tc>
        <w:tc>
          <w:tcPr>
            <w:tcW w:w="39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05071" w14:textId="170CE03B" w:rsidR="00BB4251" w:rsidRPr="00A528CB" w:rsidRDefault="00BB4251" w:rsidP="00BB425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547AEB79" w14:textId="45EE77C8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539029AD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DF4A58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33C059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700E1" w14:textId="51D38000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99CD1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4656D82D" w14:textId="77777777" w:rsidTr="00B977C8">
        <w:trPr>
          <w:trHeight w:val="107"/>
        </w:trPr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9BB1E8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Jun</w:t>
            </w:r>
          </w:p>
        </w:tc>
        <w:tc>
          <w:tcPr>
            <w:tcW w:w="8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04E5E0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39EFD" w14:textId="7C83EC2D" w:rsidR="00D16F78" w:rsidRPr="00A528CB" w:rsidRDefault="00B6566B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Reminder to participants to upload any outstanding evidence and Assessor’s Reports for the Volunteering, Physical and Skills sections to eDofE.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16DF" w14:textId="1BE509E3" w:rsidR="00D16F78" w:rsidRPr="00A528CB" w:rsidRDefault="00B6566B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Reminder to participants to upload any outstanding evidence and Assessor’s Reports for the Volunteering, Physical and Skills sections to eDofE.</w:t>
            </w:r>
          </w:p>
        </w:tc>
      </w:tr>
      <w:tr w:rsidR="00D16F78" w:rsidRPr="00A528CB" w14:paraId="5136B0FE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</w:tcBorders>
            <w:vAlign w:val="center"/>
          </w:tcPr>
          <w:p w14:paraId="0CB01942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5AC5A376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CBF54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4F512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6490605C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30D984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155D3D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6E784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CA49F" w14:textId="5347076A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2DC2B8BA" w14:textId="77777777" w:rsidTr="00B977C8">
        <w:trPr>
          <w:trHeight w:val="107"/>
        </w:trPr>
        <w:tc>
          <w:tcPr>
            <w:tcW w:w="8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CD9DF0" w14:textId="77777777" w:rsidR="00D16F78" w:rsidRPr="00A528CB" w:rsidRDefault="00D16F78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b/>
                <w:color w:val="auto"/>
                <w:sz w:val="15"/>
                <w:szCs w:val="15"/>
              </w:rPr>
              <w:t>Jul</w:t>
            </w:r>
          </w:p>
        </w:tc>
        <w:tc>
          <w:tcPr>
            <w:tcW w:w="8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30C4F9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1548F" w14:textId="6A5B8D98" w:rsidR="00D16F78" w:rsidRPr="00A528CB" w:rsidRDefault="00665735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Celebration event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AC18" w14:textId="4395D670" w:rsidR="00D16F78" w:rsidRPr="00A528CB" w:rsidRDefault="00665735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Celebration event</w:t>
            </w:r>
          </w:p>
        </w:tc>
      </w:tr>
      <w:tr w:rsidR="00D16F78" w:rsidRPr="00A528CB" w14:paraId="03B313E0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</w:tcBorders>
            <w:vAlign w:val="center"/>
          </w:tcPr>
          <w:p w14:paraId="223580C7" w14:textId="77777777" w:rsidR="00D16F78" w:rsidRPr="00A528CB" w:rsidRDefault="00D16F78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right w:val="single" w:sz="18" w:space="0" w:color="auto"/>
            </w:tcBorders>
            <w:vAlign w:val="center"/>
          </w:tcPr>
          <w:p w14:paraId="799A1786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39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56997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08DB6" w14:textId="66F44CF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16F78" w:rsidRPr="00A528CB" w14:paraId="1327F3E5" w14:textId="77777777" w:rsidTr="00B977C8">
        <w:trPr>
          <w:trHeight w:val="107"/>
        </w:trPr>
        <w:tc>
          <w:tcPr>
            <w:tcW w:w="8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0E396B" w14:textId="77777777" w:rsidR="00D16F78" w:rsidRPr="00A528CB" w:rsidRDefault="00D16F78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BD6476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A528CB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3CB40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397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91B8F" w14:textId="77777777" w:rsidR="00D16F78" w:rsidRPr="00A528CB" w:rsidRDefault="00D16F78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7EC44C90" w14:textId="77777777" w:rsidR="0098233E" w:rsidRPr="00A528CB" w:rsidRDefault="0098233E" w:rsidP="0098233E">
      <w:pPr>
        <w:rPr>
          <w:rFonts w:cs="Arial"/>
          <w:color w:val="auto"/>
          <w:sz w:val="16"/>
          <w:szCs w:val="16"/>
        </w:rPr>
      </w:pPr>
    </w:p>
    <w:p w14:paraId="29088C72" w14:textId="503F6C66" w:rsidR="000F53E1" w:rsidRDefault="000F53E1">
      <w:pPr>
        <w:rPr>
          <w:rFonts w:cs="Arial"/>
        </w:rPr>
      </w:pPr>
    </w:p>
    <w:p w14:paraId="2C2E73E0" w14:textId="77777777" w:rsidR="00582D55" w:rsidRDefault="00582D55">
      <w:pPr>
        <w:rPr>
          <w:rFonts w:cs="Arial"/>
        </w:rPr>
      </w:pPr>
    </w:p>
    <w:p w14:paraId="5136862C" w14:textId="346BADEC" w:rsidR="005423FF" w:rsidRDefault="005423FF">
      <w:pPr>
        <w:rPr>
          <w:rFonts w:cs="Arial"/>
          <w:b/>
          <w:bCs/>
        </w:rPr>
      </w:pPr>
      <w:r>
        <w:rPr>
          <w:rFonts w:cs="Arial"/>
          <w:b/>
          <w:bCs/>
        </w:rPr>
        <w:t>Notes on expeditions:</w:t>
      </w:r>
    </w:p>
    <w:p w14:paraId="21FBFDC5" w14:textId="5B432989" w:rsidR="005423FF" w:rsidRDefault="005423FF">
      <w:pPr>
        <w:rPr>
          <w:rFonts w:cs="Arial"/>
        </w:rPr>
      </w:pPr>
    </w:p>
    <w:p w14:paraId="0DD9A8EE" w14:textId="1CEF3101" w:rsidR="00060B33" w:rsidRDefault="00060B33" w:rsidP="005423FF">
      <w:pPr>
        <w:rPr>
          <w:rFonts w:cs="Arial"/>
        </w:rPr>
      </w:pPr>
      <w:r w:rsidRPr="00060B33">
        <w:rPr>
          <w:rFonts w:cs="Arial"/>
        </w:rPr>
        <w:t>Whilst restrictions are easing in some parts of the UK, each DofE centre will need to follow the specific guidance and rules for their sector, and their own local policies</w:t>
      </w:r>
      <w:r>
        <w:rPr>
          <w:rFonts w:cs="Arial"/>
        </w:rPr>
        <w:t xml:space="preserve">, </w:t>
      </w:r>
      <w:r w:rsidRPr="00060B33">
        <w:rPr>
          <w:rFonts w:cs="Arial"/>
        </w:rPr>
        <w:t>procedures</w:t>
      </w:r>
      <w:r>
        <w:rPr>
          <w:rFonts w:cs="Arial"/>
        </w:rPr>
        <w:t xml:space="preserve"> and risk assessment</w:t>
      </w:r>
      <w:r w:rsidR="00C0728F">
        <w:rPr>
          <w:rFonts w:cs="Arial"/>
        </w:rPr>
        <w:t>s</w:t>
      </w:r>
      <w:r w:rsidRPr="00060B33">
        <w:rPr>
          <w:rFonts w:cs="Arial"/>
        </w:rPr>
        <w:t>, when planning expeditions.</w:t>
      </w:r>
    </w:p>
    <w:p w14:paraId="14F5F46A" w14:textId="77777777" w:rsidR="00060B33" w:rsidRDefault="00060B33" w:rsidP="005423FF">
      <w:pPr>
        <w:rPr>
          <w:rFonts w:cs="Arial"/>
        </w:rPr>
      </w:pPr>
    </w:p>
    <w:p w14:paraId="3E0DC951" w14:textId="7232766C" w:rsidR="005423FF" w:rsidRDefault="005423FF" w:rsidP="005423FF">
      <w:pPr>
        <w:rPr>
          <w:rFonts w:cs="Arial"/>
        </w:rPr>
      </w:pPr>
      <w:r w:rsidRPr="005423FF">
        <w:rPr>
          <w:rFonts w:cs="Arial"/>
        </w:rPr>
        <w:t>Guidance for centres in England, Wales, Scotland and Northern Ireland will vary. You must follow the restrictions in place in the country you intend to visit.</w:t>
      </w:r>
    </w:p>
    <w:p w14:paraId="0D94C066" w14:textId="77777777" w:rsidR="005423FF" w:rsidRPr="005423FF" w:rsidRDefault="005423FF" w:rsidP="005423FF">
      <w:pPr>
        <w:rPr>
          <w:rFonts w:cs="Arial"/>
        </w:rPr>
      </w:pPr>
    </w:p>
    <w:p w14:paraId="31F101E4" w14:textId="77777777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cs="Arial"/>
        </w:rPr>
      </w:pPr>
      <w:r w:rsidRPr="005423FF">
        <w:rPr>
          <w:rFonts w:cs="Arial"/>
        </w:rPr>
        <w:t>If you are delivering the DofE in England, the </w:t>
      </w:r>
      <w:hyperlink r:id="rId9" w:anchor="section-2-school-operations" w:tgtFrame="_blank" w:history="1">
        <w:r w:rsidRPr="005423FF">
          <w:rPr>
            <w:rStyle w:val="Hyperlink"/>
            <w:rFonts w:cs="Arial"/>
          </w:rPr>
          <w:t>DfE</w:t>
        </w:r>
      </w:hyperlink>
      <w:r w:rsidRPr="005423FF">
        <w:rPr>
          <w:rFonts w:cs="Arial"/>
        </w:rPr>
        <w:t> has issued guidance and the </w:t>
      </w:r>
      <w:hyperlink r:id="rId10" w:tgtFrame="_blank" w:history="1">
        <w:r w:rsidRPr="005423FF">
          <w:rPr>
            <w:rStyle w:val="Hyperlink"/>
            <w:rFonts w:cs="Arial"/>
          </w:rPr>
          <w:t>National Youth Agency</w:t>
        </w:r>
      </w:hyperlink>
      <w:r w:rsidRPr="005423FF">
        <w:rPr>
          <w:rFonts w:cs="Arial"/>
        </w:rPr>
        <w:t> has also published information for managing youth sector activities.</w:t>
      </w:r>
    </w:p>
    <w:p w14:paraId="05E25D07" w14:textId="77777777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cs="Arial"/>
        </w:rPr>
      </w:pPr>
      <w:r w:rsidRPr="005423FF">
        <w:rPr>
          <w:rFonts w:cs="Arial"/>
        </w:rPr>
        <w:t>If you are delivering the DofE in Scotland, please review the guidance issued by the </w:t>
      </w:r>
      <w:hyperlink r:id="rId11" w:tgtFrame="_blank" w:history="1">
        <w:r w:rsidRPr="005423FF">
          <w:rPr>
            <w:rStyle w:val="Hyperlink"/>
            <w:rFonts w:cs="Arial"/>
          </w:rPr>
          <w:t>Scottish Government</w:t>
        </w:r>
      </w:hyperlink>
      <w:r w:rsidRPr="005423FF">
        <w:rPr>
          <w:rFonts w:cs="Arial"/>
        </w:rPr>
        <w:t>, </w:t>
      </w:r>
      <w:hyperlink r:id="rId12" w:tgtFrame="_blank" w:history="1">
        <w:r w:rsidRPr="005423FF">
          <w:rPr>
            <w:rStyle w:val="Hyperlink"/>
            <w:rFonts w:cs="Arial"/>
          </w:rPr>
          <w:t>Youth Scotland</w:t>
        </w:r>
      </w:hyperlink>
      <w:r w:rsidRPr="005423FF">
        <w:rPr>
          <w:rFonts w:cs="Arial"/>
        </w:rPr>
        <w:t> and/or </w:t>
      </w:r>
      <w:hyperlink r:id="rId13" w:tgtFrame="_blank" w:history="1">
        <w:r w:rsidRPr="005423FF">
          <w:rPr>
            <w:rStyle w:val="Hyperlink"/>
            <w:rFonts w:cs="Arial"/>
          </w:rPr>
          <w:t>Youth Link Scotland</w:t>
        </w:r>
      </w:hyperlink>
      <w:r w:rsidRPr="005423FF">
        <w:rPr>
          <w:rFonts w:cs="Arial"/>
        </w:rPr>
        <w:t>, as appropriate.</w:t>
      </w:r>
    </w:p>
    <w:p w14:paraId="581776CF" w14:textId="77777777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cs="Arial"/>
        </w:rPr>
      </w:pPr>
      <w:r w:rsidRPr="005423FF">
        <w:rPr>
          <w:rFonts w:cs="Arial"/>
        </w:rPr>
        <w:t>If you are delivering the DofE in Wales, please review the guidance issued by the </w:t>
      </w:r>
      <w:hyperlink r:id="rId14" w:tgtFrame="_blank" w:history="1">
        <w:r w:rsidRPr="005423FF">
          <w:rPr>
            <w:rStyle w:val="Hyperlink"/>
            <w:rFonts w:cs="Arial"/>
          </w:rPr>
          <w:t>Welsh Government</w:t>
        </w:r>
      </w:hyperlink>
      <w:r w:rsidRPr="005423FF">
        <w:rPr>
          <w:rFonts w:cs="Arial"/>
        </w:rPr>
        <w:t>.</w:t>
      </w:r>
    </w:p>
    <w:p w14:paraId="1735D5EB" w14:textId="77777777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cs="Arial"/>
        </w:rPr>
      </w:pPr>
      <w:r w:rsidRPr="005423FF">
        <w:rPr>
          <w:rFonts w:cs="Arial"/>
        </w:rPr>
        <w:t>If you are delivering the DofE in Northern Ireland, please review the guidance issued by </w:t>
      </w:r>
      <w:hyperlink r:id="rId15" w:tgtFrame="_blank" w:history="1">
        <w:r w:rsidRPr="005423FF">
          <w:rPr>
            <w:rStyle w:val="Hyperlink"/>
            <w:rFonts w:cs="Arial"/>
          </w:rPr>
          <w:t>EANI</w:t>
        </w:r>
      </w:hyperlink>
      <w:r w:rsidRPr="005423FF">
        <w:rPr>
          <w:rFonts w:cs="Arial"/>
        </w:rPr>
        <w:t> and the </w:t>
      </w:r>
      <w:hyperlink r:id="rId16" w:tgtFrame="_blank" w:history="1">
        <w:r w:rsidRPr="005423FF">
          <w:rPr>
            <w:rStyle w:val="Hyperlink"/>
            <w:rFonts w:cs="Arial"/>
          </w:rPr>
          <w:t>recovery plan</w:t>
        </w:r>
      </w:hyperlink>
      <w:r w:rsidRPr="005423FF">
        <w:rPr>
          <w:rFonts w:cs="Arial"/>
        </w:rPr>
        <w:t> outlined by the NI Executive, as well as information on </w:t>
      </w:r>
      <w:hyperlink r:id="rId17" w:tgtFrame="_blank" w:history="1">
        <w:r w:rsidRPr="005423FF">
          <w:rPr>
            <w:rStyle w:val="Hyperlink"/>
            <w:rFonts w:cs="Arial"/>
          </w:rPr>
          <w:t>outdoor recreation</w:t>
        </w:r>
      </w:hyperlink>
      <w:r w:rsidRPr="005423FF">
        <w:rPr>
          <w:rFonts w:cs="Arial"/>
        </w:rPr>
        <w:t>.</w:t>
      </w:r>
    </w:p>
    <w:p w14:paraId="3B635B0C" w14:textId="77777777" w:rsidR="005423FF" w:rsidRDefault="005423FF" w:rsidP="005423FF">
      <w:pPr>
        <w:rPr>
          <w:rFonts w:cs="Arial"/>
        </w:rPr>
      </w:pPr>
    </w:p>
    <w:p w14:paraId="075C4F5F" w14:textId="3BBF77CA" w:rsidR="005423FF" w:rsidRPr="005423FF" w:rsidRDefault="005423FF" w:rsidP="005423FF">
      <w:pPr>
        <w:rPr>
          <w:rFonts w:cs="Arial"/>
        </w:rPr>
      </w:pPr>
      <w:r w:rsidRPr="005423FF">
        <w:rPr>
          <w:rFonts w:cs="Arial"/>
        </w:rPr>
        <w:t>You may also wish to review advice published by the </w:t>
      </w:r>
      <w:hyperlink r:id="rId18" w:tgtFrame="_blank" w:history="1">
        <w:r w:rsidRPr="005423FF">
          <w:rPr>
            <w:rStyle w:val="Hyperlink"/>
            <w:rFonts w:cs="Arial"/>
          </w:rPr>
          <w:t>OEAP</w:t>
        </w:r>
      </w:hyperlink>
      <w:r w:rsidRPr="005423FF">
        <w:rPr>
          <w:rFonts w:cs="Arial"/>
        </w:rPr>
        <w:t> (England, Wales and Northern Ireland) or by </w:t>
      </w:r>
      <w:hyperlink r:id="rId19" w:tgtFrame="_blank" w:history="1">
        <w:r w:rsidRPr="005423FF">
          <w:rPr>
            <w:rStyle w:val="Hyperlink"/>
            <w:rFonts w:cs="Arial"/>
          </w:rPr>
          <w:t>SAPOE</w:t>
        </w:r>
      </w:hyperlink>
      <w:r w:rsidRPr="005423FF">
        <w:rPr>
          <w:rFonts w:cs="Arial"/>
        </w:rPr>
        <w:t> (Scotland) on the implications of COVID-19 for educational visits.</w:t>
      </w:r>
    </w:p>
    <w:p w14:paraId="3A9D44BC" w14:textId="6DA8ACF4" w:rsidR="005423FF" w:rsidRDefault="005423FF">
      <w:pPr>
        <w:rPr>
          <w:rFonts w:cs="Arial"/>
        </w:rPr>
      </w:pPr>
    </w:p>
    <w:sectPr w:rsidR="005423FF" w:rsidSect="00CD2CE6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F2A7F"/>
    <w:multiLevelType w:val="hybridMultilevel"/>
    <w:tmpl w:val="0F547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A1"/>
    <w:rsid w:val="00005EA1"/>
    <w:rsid w:val="00057F30"/>
    <w:rsid w:val="00060B33"/>
    <w:rsid w:val="000F53E1"/>
    <w:rsid w:val="001B1847"/>
    <w:rsid w:val="001F7C26"/>
    <w:rsid w:val="00204E23"/>
    <w:rsid w:val="00331A8D"/>
    <w:rsid w:val="0038288C"/>
    <w:rsid w:val="003C6F79"/>
    <w:rsid w:val="00436DD1"/>
    <w:rsid w:val="005140D6"/>
    <w:rsid w:val="005350B0"/>
    <w:rsid w:val="005423FF"/>
    <w:rsid w:val="00571596"/>
    <w:rsid w:val="005764AA"/>
    <w:rsid w:val="00582D55"/>
    <w:rsid w:val="006142CB"/>
    <w:rsid w:val="00641A54"/>
    <w:rsid w:val="00665735"/>
    <w:rsid w:val="00676EC9"/>
    <w:rsid w:val="007B6C85"/>
    <w:rsid w:val="007D5123"/>
    <w:rsid w:val="007F727B"/>
    <w:rsid w:val="00827EA7"/>
    <w:rsid w:val="008A216C"/>
    <w:rsid w:val="008B54DC"/>
    <w:rsid w:val="008D545F"/>
    <w:rsid w:val="0094676E"/>
    <w:rsid w:val="009560E3"/>
    <w:rsid w:val="0098233E"/>
    <w:rsid w:val="00A528CB"/>
    <w:rsid w:val="00B20621"/>
    <w:rsid w:val="00B6566B"/>
    <w:rsid w:val="00B977C8"/>
    <w:rsid w:val="00BB4251"/>
    <w:rsid w:val="00BD359C"/>
    <w:rsid w:val="00C0728F"/>
    <w:rsid w:val="00C72CC0"/>
    <w:rsid w:val="00CD1E7D"/>
    <w:rsid w:val="00D01349"/>
    <w:rsid w:val="00D16F78"/>
    <w:rsid w:val="00D50268"/>
    <w:rsid w:val="00DA3007"/>
    <w:rsid w:val="00E81375"/>
    <w:rsid w:val="00E956BA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074D"/>
  <w15:chartTrackingRefBased/>
  <w15:docId w15:val="{8A5AD842-3C2E-4E99-9FCB-3ADFF86A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3E"/>
    <w:pPr>
      <w:suppressAutoHyphens/>
      <w:spacing w:after="0" w:line="264" w:lineRule="auto"/>
    </w:pPr>
    <w:rPr>
      <w:rFonts w:ascii="Arial" w:eastAsia="Times New Roman" w:hAnsi="Arial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Centre">
    <w:name w:val="Major Heading Centre"/>
    <w:basedOn w:val="Normal"/>
    <w:rsid w:val="0098233E"/>
    <w:pPr>
      <w:jc w:val="center"/>
    </w:pPr>
    <w:rPr>
      <w:rFonts w:ascii="Georgia" w:hAnsi="Georgia"/>
      <w:sz w:val="40"/>
    </w:rPr>
  </w:style>
  <w:style w:type="paragraph" w:customStyle="1" w:styleId="Arial10ptBold">
    <w:name w:val="Arial 10 pt Bold"/>
    <w:basedOn w:val="Normal"/>
    <w:next w:val="Normal"/>
    <w:link w:val="Arial10ptBoldCharChar"/>
    <w:rsid w:val="0098233E"/>
    <w:rPr>
      <w:b/>
    </w:rPr>
  </w:style>
  <w:style w:type="character" w:customStyle="1" w:styleId="Arial10ptBoldCharChar">
    <w:name w:val="Arial 10 pt Bold Char Char"/>
    <w:basedOn w:val="DefaultParagraphFont"/>
    <w:link w:val="Arial10ptBold"/>
    <w:rsid w:val="0098233E"/>
    <w:rPr>
      <w:rFonts w:ascii="Arial" w:eastAsia="Times New Roman" w:hAnsi="Arial" w:cs="Times New Roman"/>
      <w:b/>
      <w:color w:val="333333"/>
      <w:sz w:val="20"/>
      <w:szCs w:val="20"/>
    </w:rPr>
  </w:style>
  <w:style w:type="table" w:styleId="TableGrid">
    <w:name w:val="Table Grid"/>
    <w:basedOn w:val="TableNormal"/>
    <w:rsid w:val="0098233E"/>
    <w:pPr>
      <w:suppressAutoHyphens/>
      <w:spacing w:after="0" w:line="240" w:lineRule="auto"/>
    </w:pPr>
    <w:rPr>
      <w:rFonts w:ascii="Arial" w:eastAsia="PMingLiU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Hyperlink">
    <w:name w:val="Hyperlink"/>
    <w:basedOn w:val="DefaultParagraphFont"/>
    <w:uiPriority w:val="99"/>
    <w:unhideWhenUsed/>
    <w:rsid w:val="0054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hlinkscotland.org/media/4627/covid-19-education-recovery-youth-work.pdf" TargetMode="External"/><Relationship Id="rId18" Type="http://schemas.openxmlformats.org/officeDocument/2006/relationships/hyperlink" Target="https://oeapng.info/downloads/download-info/4-4k-coronavir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hscotland.org.uk/media/1878/youth-scotland-phase-2-post-lockdown-readiness-guide-23-6-20.pdf" TargetMode="External"/><Relationship Id="rId17" Type="http://schemas.openxmlformats.org/officeDocument/2006/relationships/hyperlink" Target="https://www.nidirect.gov.uk/articles/covid-19-enjoy-healthy-and-inspiring-visit-our-outdo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direct.gov.uk/articles/coronavirus-covid-19-recovery-pl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coronavirus-covid-19-re-opening-schools-gui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ani.org.uk/supporting-children-and-young-people" TargetMode="External"/><Relationship Id="rId10" Type="http://schemas.openxmlformats.org/officeDocument/2006/relationships/hyperlink" Target="https://nya.org.uk/guidance/" TargetMode="External"/><Relationship Id="rId19" Type="http://schemas.openxmlformats.org/officeDocument/2006/relationships/hyperlink" Target="https://www.sapoe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gov.wal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DFEA320574C8AC99B6B918584C0" ma:contentTypeVersion="12" ma:contentTypeDescription="Create a new document." ma:contentTypeScope="" ma:versionID="c0835bff5288ceee6b9b420d216772e2">
  <xsd:schema xmlns:xsd="http://www.w3.org/2001/XMLSchema" xmlns:xs="http://www.w3.org/2001/XMLSchema" xmlns:p="http://schemas.microsoft.com/office/2006/metadata/properties" xmlns:ns2="fcd19bee-0caf-49f9-b91c-7c4bf7df503d" xmlns:ns3="2f6786c9-f930-4c11-830f-026addb6655c" targetNamespace="http://schemas.microsoft.com/office/2006/metadata/properties" ma:root="true" ma:fieldsID="d9bc3ec281344344722dada2982796d7" ns2:_="" ns3:_="">
    <xsd:import namespace="fcd19bee-0caf-49f9-b91c-7c4bf7df503d"/>
    <xsd:import namespace="2f6786c9-f930-4c11-830f-026addb665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86c9-f930-4c11-830f-026addb66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B018C-2C1D-4065-92EE-957976579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2B5B-D3F6-4E36-B9E4-661A26E6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9bee-0caf-49f9-b91c-7c4bf7df503d"/>
    <ds:schemaRef ds:uri="2f6786c9-f930-4c11-830f-026addb6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A0AD-7044-4ACC-8CB9-368060C43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46</cp:revision>
  <dcterms:created xsi:type="dcterms:W3CDTF">2020-07-22T11:25:00Z</dcterms:created>
  <dcterms:modified xsi:type="dcterms:W3CDTF">2021-02-10T09:44:00Z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0x0101006D384DFEA320574C8AC99B6B918584C0</vt:lpwstr>
  </property>
</Properties>
</file>