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54B04" w:rsidP="00F54B04" w:rsidRDefault="00DB0B02" w14:paraId="1E107CFE" w14:textId="221F595E">
      <w:pPr>
        <w:pStyle w:val="Default"/>
        <w:rPr>
          <w:color w:val="auto"/>
        </w:rPr>
      </w:pPr>
      <w:r w:rsidR="00DB0B02">
        <w:drawing>
          <wp:inline wp14:editId="37003B0F" wp14:anchorId="126F2986">
            <wp:extent cx="1155700" cy="1524024"/>
            <wp:effectExtent l="0" t="0" r="6350" b="0"/>
            <wp:docPr id="1" name="Picture 1" descr="Logo, company name&#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e31cf336872846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55700" cy="1524024"/>
                    </a:xfrm>
                    <a:prstGeom prst="rect">
                      <a:avLst/>
                    </a:prstGeom>
                  </pic:spPr>
                </pic:pic>
              </a:graphicData>
            </a:graphic>
          </wp:inline>
        </w:drawing>
      </w:r>
    </w:p>
    <w:p w:rsidR="00DB0B02" w:rsidP="00F54B04" w:rsidRDefault="00DB0B02" w14:paraId="27B42A17" w14:textId="77777777">
      <w:pPr>
        <w:pStyle w:val="Default"/>
        <w:rPr>
          <w:color w:val="auto"/>
        </w:rPr>
      </w:pPr>
    </w:p>
    <w:p w:rsidR="00B24844" w:rsidP="00F54B04" w:rsidRDefault="00B24844" w14:paraId="50952030" w14:textId="77777777">
      <w:pPr>
        <w:pStyle w:val="Default"/>
        <w:rPr>
          <w:b/>
          <w:bCs/>
          <w:color w:val="auto"/>
          <w:sz w:val="32"/>
          <w:szCs w:val="32"/>
        </w:rPr>
      </w:pPr>
    </w:p>
    <w:p w:rsidRPr="00B957A2" w:rsidR="00DB0B02" w:rsidP="00F54B04" w:rsidRDefault="00F54B04" w14:paraId="648DD9E3" w14:textId="2B64AEDD">
      <w:pPr>
        <w:pStyle w:val="Default"/>
        <w:rPr>
          <w:color w:val="auto"/>
          <w:sz w:val="32"/>
          <w:szCs w:val="32"/>
          <w:u w:val="single"/>
        </w:rPr>
      </w:pPr>
      <w:r w:rsidRPr="00B957A2">
        <w:rPr>
          <w:b/>
          <w:bCs/>
          <w:color w:val="auto"/>
          <w:sz w:val="32"/>
          <w:szCs w:val="32"/>
          <w:u w:val="single"/>
        </w:rPr>
        <w:t xml:space="preserve">Useful information </w:t>
      </w:r>
    </w:p>
    <w:p w:rsidR="00F54B04" w:rsidP="00F54B04" w:rsidRDefault="00F54B04" w14:paraId="545998C3" w14:textId="03C2CAD1">
      <w:pPr>
        <w:pStyle w:val="Default"/>
        <w:rPr>
          <w:color w:val="auto"/>
          <w:sz w:val="28"/>
          <w:szCs w:val="28"/>
        </w:rPr>
      </w:pPr>
    </w:p>
    <w:p w:rsidR="00F54B04" w:rsidP="00F54B04" w:rsidRDefault="00F54B04" w14:paraId="7F971BEA" w14:textId="77777777">
      <w:pPr>
        <w:pStyle w:val="Default"/>
        <w:rPr>
          <w:color w:val="auto"/>
          <w:sz w:val="28"/>
          <w:szCs w:val="28"/>
        </w:rPr>
      </w:pPr>
      <w:r>
        <w:rPr>
          <w:b/>
          <w:bCs/>
          <w:color w:val="auto"/>
          <w:sz w:val="28"/>
          <w:szCs w:val="28"/>
        </w:rPr>
        <w:t xml:space="preserve">Local advice </w:t>
      </w:r>
    </w:p>
    <w:p w:rsidR="00F54B04" w:rsidP="00F54B04" w:rsidRDefault="00F54B04" w14:paraId="6316CA54" w14:textId="77777777">
      <w:pPr>
        <w:pStyle w:val="Default"/>
        <w:spacing w:after="38"/>
        <w:rPr>
          <w:color w:val="auto"/>
          <w:sz w:val="20"/>
          <w:szCs w:val="20"/>
        </w:rPr>
      </w:pPr>
      <w:r>
        <w:rPr>
          <w:color w:val="auto"/>
          <w:sz w:val="20"/>
          <w:szCs w:val="20"/>
        </w:rPr>
        <w:t xml:space="preserve">- Avoid travelling over difficult terrain late in the day. Try as far as possible to make steep ascents early in the day. </w:t>
      </w:r>
    </w:p>
    <w:p w:rsidR="00F54B04" w:rsidP="00F54B04" w:rsidRDefault="00F54B04" w14:paraId="7C5CEF20" w14:textId="21BC2C48">
      <w:pPr>
        <w:pStyle w:val="Default"/>
        <w:spacing w:after="38"/>
        <w:rPr>
          <w:color w:val="auto"/>
          <w:sz w:val="20"/>
          <w:szCs w:val="20"/>
        </w:rPr>
      </w:pPr>
      <w:r>
        <w:rPr>
          <w:color w:val="auto"/>
          <w:sz w:val="23"/>
          <w:szCs w:val="23"/>
        </w:rPr>
        <w:t xml:space="preserve">- </w:t>
      </w:r>
      <w:r>
        <w:rPr>
          <w:color w:val="auto"/>
          <w:sz w:val="20"/>
          <w:szCs w:val="20"/>
        </w:rPr>
        <w:t xml:space="preserve">Groups following all or part of the Beatrix Potter trail as part of their expedition aim can use the Windermere Ferry, but the distance </w:t>
      </w:r>
      <w:r w:rsidR="00C814E4">
        <w:rPr>
          <w:color w:val="auto"/>
          <w:sz w:val="20"/>
          <w:szCs w:val="20"/>
        </w:rPr>
        <w:t>travelled,</w:t>
      </w:r>
      <w:r>
        <w:rPr>
          <w:color w:val="auto"/>
          <w:sz w:val="20"/>
          <w:szCs w:val="20"/>
        </w:rPr>
        <w:t xml:space="preserve"> and the time taken is not to be used as planned activity. </w:t>
      </w:r>
    </w:p>
    <w:p w:rsidR="00F54B04" w:rsidP="00F54B04" w:rsidRDefault="00F54B04" w14:paraId="144E8D13" w14:textId="77777777">
      <w:pPr>
        <w:pStyle w:val="Default"/>
        <w:spacing w:after="38"/>
        <w:rPr>
          <w:color w:val="auto"/>
          <w:sz w:val="20"/>
          <w:szCs w:val="20"/>
        </w:rPr>
      </w:pPr>
      <w:r>
        <w:rPr>
          <w:color w:val="auto"/>
          <w:sz w:val="20"/>
          <w:szCs w:val="20"/>
        </w:rPr>
        <w:t xml:space="preserve">- Avoid camp sites which are remote. It will greatly help Assessors if camp sites are chosen which are easily accessible by road. </w:t>
      </w:r>
    </w:p>
    <w:p w:rsidR="00F54B04" w:rsidP="00F54B04" w:rsidRDefault="00F54B04" w14:paraId="2486BB7D" w14:textId="77777777">
      <w:pPr>
        <w:pStyle w:val="Default"/>
        <w:spacing w:after="38"/>
        <w:rPr>
          <w:color w:val="auto"/>
          <w:sz w:val="20"/>
          <w:szCs w:val="20"/>
        </w:rPr>
      </w:pPr>
      <w:r>
        <w:rPr>
          <w:color w:val="auto"/>
          <w:sz w:val="20"/>
          <w:szCs w:val="20"/>
        </w:rPr>
        <w:t xml:space="preserve">- It is time consuming and expensive for Assessors to visit groups whose routes straddle the central fells because of the mountainous geography of the Lake District. It will help Assessors if you plan your route within zone areas, the zones of the Lake District divide roughly into the areas of the 4 1:25000 maps. The zones contain challenging and interesting areas which are also reasonably economical for Assessors. </w:t>
      </w:r>
    </w:p>
    <w:p w:rsidR="00F54B04" w:rsidP="00F54B04" w:rsidRDefault="00F54B04" w14:paraId="5FD37CFB" w14:textId="77777777">
      <w:pPr>
        <w:pStyle w:val="Default"/>
        <w:spacing w:after="38"/>
        <w:rPr>
          <w:color w:val="auto"/>
          <w:sz w:val="20"/>
          <w:szCs w:val="20"/>
        </w:rPr>
      </w:pPr>
      <w:r>
        <w:rPr>
          <w:color w:val="auto"/>
          <w:sz w:val="20"/>
          <w:szCs w:val="20"/>
        </w:rPr>
        <w:t xml:space="preserve">- Avoid ridges such as Striding Edge, </w:t>
      </w:r>
      <w:proofErr w:type="spellStart"/>
      <w:r>
        <w:rPr>
          <w:color w:val="auto"/>
          <w:sz w:val="20"/>
          <w:szCs w:val="20"/>
        </w:rPr>
        <w:t>Swirral</w:t>
      </w:r>
      <w:proofErr w:type="spellEnd"/>
      <w:r>
        <w:rPr>
          <w:color w:val="auto"/>
          <w:sz w:val="20"/>
          <w:szCs w:val="20"/>
        </w:rPr>
        <w:t xml:space="preserve"> Edge (</w:t>
      </w:r>
      <w:proofErr w:type="spellStart"/>
      <w:r>
        <w:rPr>
          <w:color w:val="auto"/>
          <w:sz w:val="20"/>
          <w:szCs w:val="20"/>
        </w:rPr>
        <w:t>Helvellyn</w:t>
      </w:r>
      <w:proofErr w:type="spellEnd"/>
      <w:r>
        <w:rPr>
          <w:color w:val="auto"/>
          <w:sz w:val="20"/>
          <w:szCs w:val="20"/>
        </w:rPr>
        <w:t>), Sharp Edge (</w:t>
      </w:r>
      <w:proofErr w:type="spellStart"/>
      <w:r>
        <w:rPr>
          <w:color w:val="auto"/>
          <w:sz w:val="20"/>
          <w:szCs w:val="20"/>
        </w:rPr>
        <w:t>Blencathra</w:t>
      </w:r>
      <w:proofErr w:type="spellEnd"/>
      <w:r>
        <w:rPr>
          <w:color w:val="auto"/>
          <w:sz w:val="20"/>
          <w:szCs w:val="20"/>
        </w:rPr>
        <w:t xml:space="preserve">), Lord’s Rake, Jake’s Rake. Journeys can be just as challenging without including these difficult areas. Take care on Wasdale Screes. </w:t>
      </w:r>
    </w:p>
    <w:p w:rsidR="00F54B04" w:rsidP="00F54B04" w:rsidRDefault="00F54B04" w14:paraId="4F6E8977" w14:textId="31570B79">
      <w:pPr>
        <w:pStyle w:val="Default"/>
        <w:rPr>
          <w:color w:val="auto"/>
          <w:sz w:val="20"/>
          <w:szCs w:val="20"/>
        </w:rPr>
      </w:pPr>
      <w:r>
        <w:rPr>
          <w:color w:val="auto"/>
          <w:sz w:val="20"/>
          <w:szCs w:val="20"/>
        </w:rPr>
        <w:t>- Avoid peak b</w:t>
      </w:r>
      <w:r w:rsidR="00C814E4">
        <w:rPr>
          <w:color w:val="auto"/>
          <w:sz w:val="20"/>
          <w:szCs w:val="20"/>
        </w:rPr>
        <w:t>a</w:t>
      </w:r>
      <w:r>
        <w:rPr>
          <w:color w:val="auto"/>
          <w:sz w:val="20"/>
          <w:szCs w:val="20"/>
        </w:rPr>
        <w:t>gging</w:t>
      </w:r>
      <w:r w:rsidR="00C814E4">
        <w:rPr>
          <w:color w:val="auto"/>
          <w:sz w:val="20"/>
          <w:szCs w:val="20"/>
        </w:rPr>
        <w:t>.</w:t>
      </w:r>
      <w:r>
        <w:rPr>
          <w:color w:val="auto"/>
          <w:sz w:val="20"/>
          <w:szCs w:val="20"/>
        </w:rPr>
        <w:t xml:space="preserve"> It can be just as rewarding to travel through wild country rather than attempting every mountain in sight. </w:t>
      </w:r>
    </w:p>
    <w:p w:rsidR="00F54B04" w:rsidP="00F54B04" w:rsidRDefault="00F54B04" w14:paraId="5E9C83BA" w14:textId="77777777">
      <w:pPr>
        <w:pStyle w:val="Default"/>
        <w:rPr>
          <w:color w:val="auto"/>
          <w:sz w:val="20"/>
          <w:szCs w:val="20"/>
        </w:rPr>
      </w:pPr>
    </w:p>
    <w:p w:rsidR="00F54B04" w:rsidP="00F54B04" w:rsidRDefault="00F54B04" w14:paraId="35766D2F" w14:textId="77777777">
      <w:pPr>
        <w:pStyle w:val="Default"/>
        <w:rPr>
          <w:color w:val="auto"/>
          <w:sz w:val="28"/>
          <w:szCs w:val="28"/>
        </w:rPr>
      </w:pPr>
      <w:r>
        <w:rPr>
          <w:b/>
          <w:bCs/>
          <w:color w:val="auto"/>
          <w:sz w:val="28"/>
          <w:szCs w:val="28"/>
        </w:rPr>
        <w:t xml:space="preserve">Safety </w:t>
      </w:r>
    </w:p>
    <w:p w:rsidR="00F54B04" w:rsidP="00F54B04" w:rsidRDefault="00F54B04" w14:paraId="1B476C28" w14:textId="735FE01E">
      <w:pPr>
        <w:pStyle w:val="Default"/>
        <w:rPr>
          <w:color w:val="auto"/>
          <w:sz w:val="20"/>
          <w:szCs w:val="20"/>
        </w:rPr>
      </w:pPr>
      <w:r>
        <w:rPr>
          <w:color w:val="auto"/>
          <w:sz w:val="20"/>
          <w:szCs w:val="20"/>
        </w:rPr>
        <w:t xml:space="preserve">Safety is the responsibility of the Supervisor who will be based with the groups in the assessment area. Adequate arrangements should be made for both the Supervisor and the Assessor to be informed about any change of plan during the expedition with the minimum of delay. </w:t>
      </w:r>
    </w:p>
    <w:p w:rsidR="00C814E4" w:rsidP="00F54B04" w:rsidRDefault="00C814E4" w14:paraId="4025E3D2" w14:textId="77777777">
      <w:pPr>
        <w:pStyle w:val="Default"/>
        <w:rPr>
          <w:color w:val="auto"/>
          <w:sz w:val="20"/>
          <w:szCs w:val="20"/>
        </w:rPr>
      </w:pPr>
    </w:p>
    <w:p w:rsidR="00F54B04" w:rsidP="00F54B04" w:rsidRDefault="00F54B04" w14:paraId="1E0D0A55" w14:textId="77777777">
      <w:pPr>
        <w:pStyle w:val="Default"/>
        <w:rPr>
          <w:color w:val="auto"/>
          <w:sz w:val="28"/>
          <w:szCs w:val="28"/>
        </w:rPr>
      </w:pPr>
      <w:r>
        <w:rPr>
          <w:b/>
          <w:bCs/>
          <w:color w:val="auto"/>
          <w:sz w:val="28"/>
          <w:szCs w:val="28"/>
        </w:rPr>
        <w:t xml:space="preserve">Route cards </w:t>
      </w:r>
    </w:p>
    <w:p w:rsidR="00F54B04" w:rsidP="00F54B04" w:rsidRDefault="00F54B04" w14:paraId="75522383" w14:textId="5ACF510F">
      <w:pPr>
        <w:pStyle w:val="Default"/>
        <w:rPr>
          <w:color w:val="auto"/>
          <w:sz w:val="16"/>
          <w:szCs w:val="16"/>
        </w:rPr>
      </w:pPr>
      <w:r>
        <w:rPr>
          <w:color w:val="auto"/>
          <w:sz w:val="20"/>
          <w:szCs w:val="20"/>
        </w:rPr>
        <w:t>Route cards should be prepared and divided into stages. The distance to be walked on any one compass bearing must be shown and the estimated time of arrival (ETA) at the end of each stage, allowing for both distance and height climbed, and time where applicable. Assessors will judge planning from good timekeeping so allow adequate walking time per hour. On the route card the wild sections should indicate which escape routes would be taken in an emergency</w:t>
      </w:r>
      <w:r>
        <w:rPr>
          <w:color w:val="auto"/>
          <w:sz w:val="16"/>
          <w:szCs w:val="16"/>
        </w:rPr>
        <w:t xml:space="preserve"> </w:t>
      </w:r>
    </w:p>
    <w:p w:rsidR="00F54B04" w:rsidP="00F54B04" w:rsidRDefault="00F54B04" w14:paraId="28B3DE5D" w14:textId="77777777">
      <w:pPr>
        <w:pStyle w:val="Default"/>
        <w:rPr>
          <w:color w:val="auto"/>
        </w:rPr>
      </w:pPr>
    </w:p>
    <w:p w:rsidR="00F54B04" w:rsidP="00F54B04" w:rsidRDefault="00F54B04" w14:paraId="17664DC2" w14:textId="77777777">
      <w:pPr>
        <w:pStyle w:val="Default"/>
        <w:pageBreakBefore/>
        <w:rPr>
          <w:color w:val="auto"/>
          <w:sz w:val="20"/>
          <w:szCs w:val="20"/>
        </w:rPr>
      </w:pPr>
      <w:r>
        <w:rPr>
          <w:color w:val="auto"/>
          <w:sz w:val="20"/>
          <w:szCs w:val="20"/>
        </w:rPr>
        <w:lastRenderedPageBreak/>
        <w:t xml:space="preserve">We also expect that alternative bad weather routes will be </w:t>
      </w:r>
      <w:proofErr w:type="gramStart"/>
      <w:r>
        <w:rPr>
          <w:color w:val="auto"/>
          <w:sz w:val="20"/>
          <w:szCs w:val="20"/>
        </w:rPr>
        <w:t>planned</w:t>
      </w:r>
      <w:proofErr w:type="gramEnd"/>
      <w:r>
        <w:rPr>
          <w:color w:val="auto"/>
          <w:sz w:val="20"/>
          <w:szCs w:val="20"/>
        </w:rPr>
        <w:t xml:space="preserve"> and these should be properly timed and distances measured. For Gold Level we expect bearings to begin on the route card and not Cardinal Points. </w:t>
      </w:r>
    </w:p>
    <w:p w:rsidR="00C814E4" w:rsidP="00F54B04" w:rsidRDefault="00C814E4" w14:paraId="78DA8B2C" w14:textId="77777777">
      <w:pPr>
        <w:pStyle w:val="Default"/>
        <w:rPr>
          <w:b/>
          <w:bCs/>
          <w:color w:val="auto"/>
          <w:sz w:val="28"/>
          <w:szCs w:val="28"/>
        </w:rPr>
      </w:pPr>
    </w:p>
    <w:p w:rsidR="00F54B04" w:rsidP="00F54B04" w:rsidRDefault="00F54B04" w14:paraId="4AC1D940" w14:textId="5E658CE1">
      <w:pPr>
        <w:pStyle w:val="Default"/>
        <w:rPr>
          <w:color w:val="auto"/>
          <w:sz w:val="28"/>
          <w:szCs w:val="28"/>
        </w:rPr>
      </w:pPr>
      <w:r>
        <w:rPr>
          <w:b/>
          <w:bCs/>
          <w:color w:val="auto"/>
          <w:sz w:val="28"/>
          <w:szCs w:val="28"/>
        </w:rPr>
        <w:t xml:space="preserve">Familiarisation </w:t>
      </w:r>
    </w:p>
    <w:p w:rsidR="00F54B04" w:rsidP="00F54B04" w:rsidRDefault="00F54B04" w14:paraId="09B85AEC" w14:textId="3231B91F">
      <w:pPr>
        <w:pStyle w:val="Default"/>
        <w:rPr>
          <w:color w:val="auto"/>
          <w:sz w:val="20"/>
          <w:szCs w:val="20"/>
        </w:rPr>
      </w:pPr>
      <w:r>
        <w:rPr>
          <w:color w:val="auto"/>
          <w:sz w:val="20"/>
          <w:szCs w:val="20"/>
        </w:rPr>
        <w:t xml:space="preserve">Groups coming to the Lake District are recommended to arrive at least 48 and a minimum of 24 hours before the expedition starts. This allows time for familiarisation and acclimatisation and, for those under assessment, time for the pre-expedition check. Groups are more likely to have an Assessor to assess them if they allow plenty of time for the pre-expedition check. </w:t>
      </w:r>
    </w:p>
    <w:p w:rsidR="00F54B04" w:rsidP="00F54B04" w:rsidRDefault="00F54B04" w14:paraId="0084CE14" w14:textId="77777777">
      <w:pPr>
        <w:pStyle w:val="Default"/>
        <w:rPr>
          <w:color w:val="auto"/>
          <w:sz w:val="20"/>
          <w:szCs w:val="20"/>
        </w:rPr>
      </w:pPr>
      <w:r>
        <w:rPr>
          <w:color w:val="auto"/>
          <w:sz w:val="20"/>
          <w:szCs w:val="20"/>
        </w:rPr>
        <w:t xml:space="preserve">It is difficult for both the group and the Assessor if the group arrives late the day before the expedition. </w:t>
      </w:r>
    </w:p>
    <w:p w:rsidR="00F54B04" w:rsidP="00F54B04" w:rsidRDefault="00F54B04" w14:paraId="6B5CAA6B" w14:textId="31B3E90B">
      <w:pPr>
        <w:pStyle w:val="Default"/>
        <w:rPr>
          <w:color w:val="auto"/>
          <w:sz w:val="20"/>
          <w:szCs w:val="20"/>
        </w:rPr>
      </w:pPr>
      <w:r>
        <w:rPr>
          <w:color w:val="auto"/>
          <w:sz w:val="20"/>
          <w:szCs w:val="20"/>
        </w:rPr>
        <w:t xml:space="preserve">For groups under assessment practical assessment in the form of a pre-expedition check takes place before the expedition can start. When the Assessor is satisfied with the pre-expedition check, the expedition can begin. </w:t>
      </w:r>
      <w:proofErr w:type="gramStart"/>
      <w:r>
        <w:rPr>
          <w:color w:val="auto"/>
          <w:sz w:val="20"/>
          <w:szCs w:val="20"/>
        </w:rPr>
        <w:t>Time-keeping</w:t>
      </w:r>
      <w:proofErr w:type="gramEnd"/>
      <w:r>
        <w:rPr>
          <w:color w:val="auto"/>
          <w:sz w:val="20"/>
          <w:szCs w:val="20"/>
        </w:rPr>
        <w:t xml:space="preserve"> is important throughout the expedition. </w:t>
      </w:r>
    </w:p>
    <w:p w:rsidR="00C814E4" w:rsidP="00F54B04" w:rsidRDefault="00C814E4" w14:paraId="4305A048" w14:textId="77777777">
      <w:pPr>
        <w:pStyle w:val="Default"/>
        <w:rPr>
          <w:b/>
          <w:bCs/>
          <w:color w:val="auto"/>
          <w:sz w:val="28"/>
          <w:szCs w:val="28"/>
        </w:rPr>
      </w:pPr>
    </w:p>
    <w:p w:rsidR="00F54B04" w:rsidP="00F54B04" w:rsidRDefault="00F54B04" w14:paraId="5D02B48E" w14:textId="5E000D28">
      <w:pPr>
        <w:pStyle w:val="Default"/>
        <w:rPr>
          <w:color w:val="auto"/>
          <w:sz w:val="28"/>
          <w:szCs w:val="28"/>
        </w:rPr>
      </w:pPr>
      <w:r>
        <w:rPr>
          <w:b/>
          <w:bCs/>
          <w:color w:val="auto"/>
          <w:sz w:val="28"/>
          <w:szCs w:val="28"/>
        </w:rPr>
        <w:t xml:space="preserve">Canoeing </w:t>
      </w:r>
    </w:p>
    <w:p w:rsidR="00F54B04" w:rsidP="00F54B04" w:rsidRDefault="00F54B04" w14:paraId="4BD58978" w14:textId="77777777">
      <w:pPr>
        <w:pStyle w:val="Default"/>
        <w:rPr>
          <w:color w:val="auto"/>
          <w:sz w:val="20"/>
          <w:szCs w:val="20"/>
        </w:rPr>
      </w:pPr>
      <w:r>
        <w:rPr>
          <w:color w:val="auto"/>
          <w:sz w:val="20"/>
          <w:szCs w:val="20"/>
        </w:rPr>
        <w:t xml:space="preserve">Windermere is generally not suitable for a Silver qualifying canoeing expedition unless special circumstances apply. Ullswater is suitable for Bronze canoeing expeditions, Silver practices and canoeing explorations. </w:t>
      </w:r>
    </w:p>
    <w:p w:rsidR="00C814E4" w:rsidP="00F54B04" w:rsidRDefault="00C814E4" w14:paraId="1B2423B5" w14:textId="77777777">
      <w:pPr>
        <w:pStyle w:val="Default"/>
        <w:rPr>
          <w:b/>
          <w:bCs/>
          <w:color w:val="auto"/>
          <w:sz w:val="28"/>
          <w:szCs w:val="28"/>
        </w:rPr>
      </w:pPr>
    </w:p>
    <w:p w:rsidR="00F54B04" w:rsidP="00F54B04" w:rsidRDefault="00F54B04" w14:paraId="5A07B149" w14:textId="49E2C173">
      <w:pPr>
        <w:pStyle w:val="Default"/>
        <w:rPr>
          <w:color w:val="auto"/>
          <w:sz w:val="28"/>
          <w:szCs w:val="28"/>
        </w:rPr>
      </w:pPr>
      <w:r>
        <w:rPr>
          <w:b/>
          <w:bCs/>
          <w:color w:val="auto"/>
          <w:sz w:val="28"/>
          <w:szCs w:val="28"/>
        </w:rPr>
        <w:t xml:space="preserve">Camping </w:t>
      </w:r>
    </w:p>
    <w:p w:rsidR="00F54B04" w:rsidP="00F54B04" w:rsidRDefault="00F54B04" w14:paraId="74291E8C" w14:textId="77777777">
      <w:pPr>
        <w:pStyle w:val="Default"/>
        <w:rPr>
          <w:color w:val="auto"/>
          <w:sz w:val="20"/>
          <w:szCs w:val="20"/>
        </w:rPr>
      </w:pPr>
      <w:r>
        <w:rPr>
          <w:color w:val="auto"/>
          <w:sz w:val="20"/>
          <w:szCs w:val="20"/>
        </w:rPr>
        <w:t xml:space="preserve">Groups can wild camp. It is recommended that overnight camps </w:t>
      </w:r>
      <w:proofErr w:type="gramStart"/>
      <w:r>
        <w:rPr>
          <w:color w:val="auto"/>
          <w:sz w:val="20"/>
          <w:szCs w:val="20"/>
        </w:rPr>
        <w:t>be located in</w:t>
      </w:r>
      <w:proofErr w:type="gramEnd"/>
      <w:r>
        <w:rPr>
          <w:color w:val="auto"/>
          <w:sz w:val="20"/>
          <w:szCs w:val="20"/>
        </w:rPr>
        <w:t xml:space="preserve"> valley or lower-fell situations. This will aid Supervisors and Assessors when visiting groups. </w:t>
      </w:r>
    </w:p>
    <w:p w:rsidR="00F54B04" w:rsidP="00F54B04" w:rsidRDefault="00F54B04" w14:paraId="6885E9AD" w14:textId="77777777">
      <w:pPr>
        <w:pStyle w:val="Default"/>
        <w:rPr>
          <w:color w:val="auto"/>
          <w:sz w:val="20"/>
          <w:szCs w:val="20"/>
        </w:rPr>
      </w:pPr>
      <w:r>
        <w:rPr>
          <w:color w:val="auto"/>
          <w:sz w:val="20"/>
          <w:szCs w:val="20"/>
        </w:rPr>
        <w:t xml:space="preserve">Higher level camp sites may be used, however please discuss their suitability with the Assessor. </w:t>
      </w:r>
    </w:p>
    <w:p w:rsidR="00F54B04" w:rsidP="00F54B04" w:rsidRDefault="00F54B04" w14:paraId="746285C2" w14:textId="77777777">
      <w:pPr>
        <w:pStyle w:val="Default"/>
        <w:rPr>
          <w:color w:val="auto"/>
          <w:sz w:val="20"/>
          <w:szCs w:val="20"/>
        </w:rPr>
      </w:pPr>
      <w:r>
        <w:rPr>
          <w:color w:val="auto"/>
          <w:sz w:val="20"/>
          <w:szCs w:val="20"/>
        </w:rPr>
        <w:t xml:space="preserve">Groups should endeavour to obtain permission to use a site before they arrive in the area. It may be difficult booking on arrival in the high season as the site may be full and camping </w:t>
      </w:r>
      <w:proofErr w:type="gramStart"/>
      <w:r>
        <w:rPr>
          <w:color w:val="auto"/>
          <w:sz w:val="20"/>
          <w:szCs w:val="20"/>
        </w:rPr>
        <w:t>has to</w:t>
      </w:r>
      <w:proofErr w:type="gramEnd"/>
      <w:r>
        <w:rPr>
          <w:color w:val="auto"/>
          <w:sz w:val="20"/>
          <w:szCs w:val="20"/>
        </w:rPr>
        <w:t xml:space="preserve"> be strictly regulated in the Lake District. The Assessor may be able to advise as to the suitability of proposed camp sites however the initial proposed routes and sites should come from the groups planning the expeditions. </w:t>
      </w:r>
    </w:p>
    <w:p w:rsidR="00F54B04" w:rsidP="00F54B04" w:rsidRDefault="00F54B04" w14:paraId="02B2639C" w14:textId="77777777">
      <w:pPr>
        <w:pStyle w:val="Default"/>
        <w:rPr>
          <w:color w:val="auto"/>
          <w:sz w:val="20"/>
          <w:szCs w:val="20"/>
        </w:rPr>
      </w:pPr>
      <w:r>
        <w:rPr>
          <w:color w:val="auto"/>
          <w:sz w:val="20"/>
          <w:szCs w:val="20"/>
        </w:rPr>
        <w:t xml:space="preserve">Groups are particularly requested not to camp in </w:t>
      </w:r>
      <w:proofErr w:type="gramStart"/>
      <w:r>
        <w:rPr>
          <w:color w:val="auto"/>
          <w:sz w:val="20"/>
          <w:szCs w:val="20"/>
        </w:rPr>
        <w:t>sheep-folds</w:t>
      </w:r>
      <w:proofErr w:type="gramEnd"/>
      <w:r>
        <w:rPr>
          <w:color w:val="auto"/>
          <w:sz w:val="20"/>
          <w:szCs w:val="20"/>
        </w:rPr>
        <w:t xml:space="preserve"> (small walled enclosures). If it is necessary to camp in the vicinity of a sheep-fold due to bad weather, tents should be pitched on the leeward side of the outside wall. </w:t>
      </w:r>
    </w:p>
    <w:p w:rsidR="00C814E4" w:rsidP="00F54B04" w:rsidRDefault="00C814E4" w14:paraId="7FC4A0AF" w14:textId="77777777">
      <w:pPr>
        <w:pStyle w:val="Default"/>
        <w:rPr>
          <w:b/>
          <w:bCs/>
          <w:color w:val="auto"/>
          <w:sz w:val="23"/>
          <w:szCs w:val="23"/>
        </w:rPr>
      </w:pPr>
    </w:p>
    <w:p w:rsidR="00F54B04" w:rsidP="00F54B04" w:rsidRDefault="00F54B04" w14:paraId="10A3FC2A" w14:textId="547AA2CE">
      <w:pPr>
        <w:pStyle w:val="Default"/>
        <w:rPr>
          <w:color w:val="auto"/>
          <w:sz w:val="23"/>
          <w:szCs w:val="23"/>
        </w:rPr>
      </w:pPr>
      <w:r>
        <w:rPr>
          <w:b/>
          <w:bCs/>
          <w:color w:val="auto"/>
          <w:sz w:val="23"/>
          <w:szCs w:val="23"/>
        </w:rPr>
        <w:t xml:space="preserve">Skiddaw House Area (grid 288 291) </w:t>
      </w:r>
    </w:p>
    <w:p w:rsidR="00F54B04" w:rsidP="00F54B04" w:rsidRDefault="00F54B04" w14:paraId="7E0D9C57" w14:textId="77777777">
      <w:pPr>
        <w:pStyle w:val="Default"/>
        <w:rPr>
          <w:color w:val="auto"/>
          <w:sz w:val="20"/>
          <w:szCs w:val="20"/>
        </w:rPr>
      </w:pPr>
      <w:r>
        <w:rPr>
          <w:color w:val="auto"/>
          <w:sz w:val="20"/>
          <w:szCs w:val="20"/>
        </w:rPr>
        <w:t xml:space="preserve">Groups are asked not to camp </w:t>
      </w:r>
      <w:proofErr w:type="gramStart"/>
      <w:r>
        <w:rPr>
          <w:color w:val="auto"/>
          <w:sz w:val="20"/>
          <w:szCs w:val="20"/>
        </w:rPr>
        <w:t>in the area of</w:t>
      </w:r>
      <w:proofErr w:type="gramEnd"/>
      <w:r>
        <w:rPr>
          <w:color w:val="auto"/>
          <w:sz w:val="20"/>
          <w:szCs w:val="20"/>
        </w:rPr>
        <w:t xml:space="preserve"> Skiddaw House. The surrounding area is a Site of Scientific Interest. Of particular importance are the heather areas which hold important populations of breeding birds. During the months of April, May, </w:t>
      </w:r>
      <w:proofErr w:type="gramStart"/>
      <w:r>
        <w:rPr>
          <w:color w:val="auto"/>
          <w:sz w:val="20"/>
          <w:szCs w:val="20"/>
        </w:rPr>
        <w:t>June</w:t>
      </w:r>
      <w:proofErr w:type="gramEnd"/>
      <w:r>
        <w:rPr>
          <w:color w:val="auto"/>
          <w:sz w:val="20"/>
          <w:szCs w:val="20"/>
        </w:rPr>
        <w:t xml:space="preserve"> and July we urge that only the rights of way and </w:t>
      </w:r>
      <w:proofErr w:type="spellStart"/>
      <w:r>
        <w:rPr>
          <w:color w:val="auto"/>
          <w:sz w:val="20"/>
          <w:szCs w:val="20"/>
        </w:rPr>
        <w:t>well trodden</w:t>
      </w:r>
      <w:proofErr w:type="spellEnd"/>
      <w:r>
        <w:rPr>
          <w:color w:val="auto"/>
          <w:sz w:val="20"/>
          <w:szCs w:val="20"/>
        </w:rPr>
        <w:t xml:space="preserve"> routes over the fells and to the summits are used. </w:t>
      </w:r>
    </w:p>
    <w:p w:rsidR="00C814E4" w:rsidP="00F54B04" w:rsidRDefault="00C814E4" w14:paraId="24F7C956" w14:textId="77777777">
      <w:pPr>
        <w:pStyle w:val="Default"/>
        <w:rPr>
          <w:b/>
          <w:bCs/>
          <w:color w:val="auto"/>
          <w:sz w:val="23"/>
          <w:szCs w:val="23"/>
        </w:rPr>
      </w:pPr>
    </w:p>
    <w:p w:rsidR="00F54B04" w:rsidP="00F54B04" w:rsidRDefault="00F54B04" w14:paraId="6B33B894" w14:textId="35555056">
      <w:pPr>
        <w:pStyle w:val="Default"/>
        <w:rPr>
          <w:color w:val="auto"/>
          <w:sz w:val="23"/>
          <w:szCs w:val="23"/>
        </w:rPr>
      </w:pPr>
      <w:r>
        <w:rPr>
          <w:b/>
          <w:bCs/>
          <w:color w:val="auto"/>
          <w:sz w:val="23"/>
          <w:szCs w:val="23"/>
        </w:rPr>
        <w:t xml:space="preserve">Haweswater Area </w:t>
      </w:r>
    </w:p>
    <w:p w:rsidR="00C814E4" w:rsidP="00C814E4" w:rsidRDefault="00F54B04" w14:paraId="289B0029" w14:textId="77777777">
      <w:pPr>
        <w:pStyle w:val="Default"/>
        <w:pageBreakBefore/>
        <w:rPr>
          <w:color w:val="auto"/>
          <w:sz w:val="20"/>
          <w:szCs w:val="20"/>
        </w:rPr>
      </w:pPr>
      <w:r>
        <w:rPr>
          <w:color w:val="auto"/>
          <w:sz w:val="20"/>
          <w:szCs w:val="20"/>
        </w:rPr>
        <w:lastRenderedPageBreak/>
        <w:t xml:space="preserve">If camping in the Haweswater area permission should be sought from United Utilities, Tel: 017687 72334, address: Northern Estates Offices, The Old </w:t>
      </w:r>
      <w:proofErr w:type="gramStart"/>
      <w:r>
        <w:rPr>
          <w:color w:val="auto"/>
          <w:sz w:val="20"/>
          <w:szCs w:val="20"/>
        </w:rPr>
        <w:t>Saw Mill</w:t>
      </w:r>
      <w:proofErr w:type="gramEnd"/>
      <w:r>
        <w:rPr>
          <w:color w:val="auto"/>
          <w:sz w:val="20"/>
          <w:szCs w:val="20"/>
        </w:rPr>
        <w:t>, Thirlmere, Keswick, Cumbria. CA12 4TQ. Camping is unlikely to be allowed at low level however if permission is granted it must be out of sight of the road and all the appropriate strictures of the Countryside</w:t>
      </w:r>
      <w:r>
        <w:rPr>
          <w:color w:val="auto"/>
          <w:sz w:val="16"/>
          <w:szCs w:val="16"/>
        </w:rPr>
        <w:t xml:space="preserve"> </w:t>
      </w:r>
      <w:r w:rsidR="00C814E4">
        <w:rPr>
          <w:color w:val="auto"/>
          <w:sz w:val="20"/>
          <w:szCs w:val="20"/>
        </w:rPr>
        <w:t xml:space="preserve">Code must be carefully followed. Sites should be inspected by the supervisor/assessor after the site has been used to check on litter and sanitation. </w:t>
      </w:r>
    </w:p>
    <w:p w:rsidR="00F54B04" w:rsidP="00C814E4" w:rsidRDefault="00F54B04" w14:paraId="4F466D6E" w14:textId="5D61F524">
      <w:pPr>
        <w:pStyle w:val="Default"/>
        <w:rPr>
          <w:color w:val="auto"/>
          <w:sz w:val="16"/>
          <w:szCs w:val="16"/>
        </w:rPr>
      </w:pPr>
    </w:p>
    <w:p w:rsidR="00F54B04" w:rsidP="00F54B04" w:rsidRDefault="00F54B04" w14:paraId="5BE0F804" w14:textId="77777777">
      <w:pPr>
        <w:pStyle w:val="Default"/>
        <w:rPr>
          <w:color w:val="auto"/>
        </w:rPr>
      </w:pPr>
    </w:p>
    <w:p w:rsidR="00F54B04" w:rsidP="00F54B04" w:rsidRDefault="00F54B04" w14:paraId="31854562" w14:textId="77777777">
      <w:pPr>
        <w:pStyle w:val="Default"/>
        <w:rPr>
          <w:color w:val="auto"/>
          <w:sz w:val="23"/>
          <w:szCs w:val="23"/>
        </w:rPr>
      </w:pPr>
      <w:r>
        <w:rPr>
          <w:b/>
          <w:bCs/>
          <w:color w:val="auto"/>
          <w:sz w:val="23"/>
          <w:szCs w:val="23"/>
        </w:rPr>
        <w:t xml:space="preserve">United Utilities land </w:t>
      </w:r>
    </w:p>
    <w:p w:rsidR="00F54B04" w:rsidP="00F54B04" w:rsidRDefault="00F54B04" w14:paraId="60C3968B" w14:textId="77777777">
      <w:pPr>
        <w:pStyle w:val="Default"/>
        <w:rPr>
          <w:color w:val="auto"/>
          <w:sz w:val="20"/>
          <w:szCs w:val="20"/>
        </w:rPr>
      </w:pPr>
      <w:proofErr w:type="spellStart"/>
      <w:r>
        <w:rPr>
          <w:color w:val="auto"/>
          <w:sz w:val="20"/>
          <w:szCs w:val="20"/>
        </w:rPr>
        <w:t>Unitied</w:t>
      </w:r>
      <w:proofErr w:type="spellEnd"/>
      <w:r>
        <w:rPr>
          <w:color w:val="auto"/>
          <w:sz w:val="20"/>
          <w:szCs w:val="20"/>
        </w:rPr>
        <w:t xml:space="preserve"> Utilities would like to be informed if groups wish to utilise the company’s land in the Lake District, the address and telephone number is as above. </w:t>
      </w:r>
    </w:p>
    <w:p w:rsidR="00C814E4" w:rsidP="00F54B04" w:rsidRDefault="00C814E4" w14:paraId="17E5687B" w14:textId="77777777">
      <w:pPr>
        <w:pStyle w:val="Default"/>
        <w:rPr>
          <w:b/>
          <w:bCs/>
          <w:color w:val="auto"/>
          <w:sz w:val="23"/>
          <w:szCs w:val="23"/>
        </w:rPr>
      </w:pPr>
    </w:p>
    <w:p w:rsidR="00F54B04" w:rsidP="00F54B04" w:rsidRDefault="00F54B04" w14:paraId="4A733972" w14:textId="12065487">
      <w:pPr>
        <w:pStyle w:val="Default"/>
        <w:rPr>
          <w:color w:val="auto"/>
          <w:sz w:val="23"/>
          <w:szCs w:val="23"/>
        </w:rPr>
      </w:pPr>
      <w:r>
        <w:rPr>
          <w:b/>
          <w:bCs/>
          <w:color w:val="auto"/>
          <w:sz w:val="23"/>
          <w:szCs w:val="23"/>
        </w:rPr>
        <w:t xml:space="preserve">National Trust </w:t>
      </w:r>
    </w:p>
    <w:p w:rsidR="00F54B04" w:rsidP="00F54B04" w:rsidRDefault="00F54B04" w14:paraId="416FBA48" w14:textId="77777777">
      <w:pPr>
        <w:pStyle w:val="Default"/>
        <w:rPr>
          <w:color w:val="auto"/>
          <w:sz w:val="20"/>
          <w:szCs w:val="20"/>
        </w:rPr>
      </w:pPr>
      <w:r>
        <w:rPr>
          <w:color w:val="auto"/>
          <w:sz w:val="20"/>
          <w:szCs w:val="20"/>
        </w:rPr>
        <w:t xml:space="preserve">The National Trust in the Lake District and the Cumbria Expedition Network are strong mutual supporters and as such, it may be possible to seek approval from the National Trust to camp on their land at suitable sites identified by them. </w:t>
      </w:r>
    </w:p>
    <w:p w:rsidR="00C814E4" w:rsidP="00F54B04" w:rsidRDefault="00C814E4" w14:paraId="4FE73AF3" w14:textId="77777777">
      <w:pPr>
        <w:pStyle w:val="Default"/>
        <w:rPr>
          <w:b/>
          <w:bCs/>
          <w:color w:val="auto"/>
          <w:sz w:val="23"/>
          <w:szCs w:val="23"/>
        </w:rPr>
      </w:pPr>
    </w:p>
    <w:p w:rsidR="00F54B04" w:rsidP="00F54B04" w:rsidRDefault="00F54B04" w14:paraId="764A3D43" w14:textId="56E5FB51">
      <w:pPr>
        <w:pStyle w:val="Default"/>
        <w:rPr>
          <w:color w:val="auto"/>
          <w:sz w:val="23"/>
          <w:szCs w:val="23"/>
        </w:rPr>
      </w:pPr>
      <w:proofErr w:type="spellStart"/>
      <w:r>
        <w:rPr>
          <w:b/>
          <w:bCs/>
          <w:color w:val="auto"/>
          <w:sz w:val="23"/>
          <w:szCs w:val="23"/>
        </w:rPr>
        <w:t>Russland</w:t>
      </w:r>
      <w:proofErr w:type="spellEnd"/>
      <w:r>
        <w:rPr>
          <w:b/>
          <w:bCs/>
          <w:color w:val="auto"/>
          <w:sz w:val="23"/>
          <w:szCs w:val="23"/>
        </w:rPr>
        <w:t xml:space="preserve"> Moss grid square 33 88 </w:t>
      </w:r>
    </w:p>
    <w:p w:rsidR="00F54B04" w:rsidP="00F54B04" w:rsidRDefault="00F54B04" w14:paraId="191D1CC4" w14:textId="77777777">
      <w:pPr>
        <w:pStyle w:val="Default"/>
        <w:rPr>
          <w:color w:val="auto"/>
          <w:sz w:val="20"/>
          <w:szCs w:val="20"/>
        </w:rPr>
      </w:pPr>
      <w:r>
        <w:rPr>
          <w:color w:val="auto"/>
          <w:sz w:val="20"/>
          <w:szCs w:val="20"/>
        </w:rPr>
        <w:t xml:space="preserve">The footpath at </w:t>
      </w:r>
      <w:proofErr w:type="spellStart"/>
      <w:r>
        <w:rPr>
          <w:color w:val="auto"/>
          <w:sz w:val="20"/>
          <w:szCs w:val="20"/>
        </w:rPr>
        <w:t>Russland</w:t>
      </w:r>
      <w:proofErr w:type="spellEnd"/>
      <w:r>
        <w:rPr>
          <w:color w:val="auto"/>
          <w:sz w:val="20"/>
          <w:szCs w:val="20"/>
        </w:rPr>
        <w:t xml:space="preserve"> Moss, within Grid Square 33 88, is narrow and follows alongside drainage ditches. The ditches can fill with water in bad weather and the route itself is liable to be wet and muddy at any time. We would suggest that groups avoid this route. </w:t>
      </w:r>
    </w:p>
    <w:p w:rsidR="00D55A27" w:rsidP="00F54B04" w:rsidRDefault="00D55A27" w14:paraId="651658F8" w14:textId="77777777">
      <w:pPr>
        <w:pStyle w:val="Default"/>
        <w:rPr>
          <w:b/>
          <w:bCs/>
          <w:color w:val="auto"/>
          <w:sz w:val="28"/>
          <w:szCs w:val="28"/>
        </w:rPr>
      </w:pPr>
    </w:p>
    <w:p w:rsidR="00F54B04" w:rsidP="00F54B04" w:rsidRDefault="00F54B04" w14:paraId="54E9C51E" w14:textId="473C0847">
      <w:pPr>
        <w:pStyle w:val="Default"/>
        <w:rPr>
          <w:color w:val="auto"/>
          <w:sz w:val="28"/>
          <w:szCs w:val="28"/>
        </w:rPr>
      </w:pPr>
      <w:r>
        <w:rPr>
          <w:b/>
          <w:bCs/>
          <w:color w:val="auto"/>
          <w:sz w:val="28"/>
          <w:szCs w:val="28"/>
        </w:rPr>
        <w:t xml:space="preserve">Assessment </w:t>
      </w:r>
    </w:p>
    <w:p w:rsidR="00F54B04" w:rsidP="00F54B04" w:rsidRDefault="00F54B04" w14:paraId="4414E035" w14:textId="77777777">
      <w:pPr>
        <w:pStyle w:val="Default"/>
        <w:rPr>
          <w:color w:val="auto"/>
          <w:sz w:val="20"/>
          <w:szCs w:val="20"/>
        </w:rPr>
      </w:pPr>
      <w:r>
        <w:rPr>
          <w:color w:val="auto"/>
          <w:sz w:val="20"/>
          <w:szCs w:val="20"/>
        </w:rPr>
        <w:t xml:space="preserve">All expeditions, including practice journeys, are to be supervised by an experienced adult who must accept responsibility for the safety of the group. He or she must be satisfied that the participants are fully trained and properly equipped to undertake the expedition planned. </w:t>
      </w:r>
    </w:p>
    <w:p w:rsidR="00F54B04" w:rsidP="00F54B04" w:rsidRDefault="00F54B04" w14:paraId="768D1AEF" w14:textId="48C14C2A">
      <w:pPr>
        <w:pStyle w:val="Default"/>
        <w:rPr>
          <w:color w:val="auto"/>
          <w:sz w:val="20"/>
          <w:szCs w:val="20"/>
        </w:rPr>
      </w:pPr>
      <w:r>
        <w:rPr>
          <w:color w:val="auto"/>
          <w:sz w:val="20"/>
          <w:szCs w:val="20"/>
        </w:rPr>
        <w:t xml:space="preserve">Once </w:t>
      </w:r>
      <w:r w:rsidR="00625453">
        <w:rPr>
          <w:color w:val="auto"/>
          <w:sz w:val="20"/>
          <w:szCs w:val="20"/>
        </w:rPr>
        <w:t>your</w:t>
      </w:r>
      <w:r>
        <w:rPr>
          <w:color w:val="auto"/>
          <w:sz w:val="20"/>
          <w:szCs w:val="20"/>
        </w:rPr>
        <w:t xml:space="preserve"> Assessor has approved your route then the route cards, equipment lists, menus etc. should be forwarded direct to the Assessor. </w:t>
      </w:r>
    </w:p>
    <w:p w:rsidR="00625453" w:rsidP="00F54B04" w:rsidRDefault="00625453" w14:paraId="297DA14B" w14:textId="77777777">
      <w:pPr>
        <w:pStyle w:val="Default"/>
        <w:rPr>
          <w:b/>
          <w:bCs/>
          <w:color w:val="auto"/>
          <w:sz w:val="23"/>
          <w:szCs w:val="23"/>
        </w:rPr>
      </w:pPr>
    </w:p>
    <w:p w:rsidR="00F54B04" w:rsidP="00F54B04" w:rsidRDefault="00F54B04" w14:paraId="4FD43A95" w14:textId="105BAE10">
      <w:pPr>
        <w:pStyle w:val="Default"/>
        <w:rPr>
          <w:color w:val="auto"/>
          <w:sz w:val="16"/>
          <w:szCs w:val="16"/>
        </w:rPr>
      </w:pPr>
    </w:p>
    <w:p w:rsidR="00F54B04" w:rsidP="00F54B04" w:rsidRDefault="00F54B04" w14:paraId="1BD840DF" w14:textId="77777777">
      <w:pPr>
        <w:pStyle w:val="Default"/>
        <w:rPr>
          <w:color w:val="auto"/>
        </w:rPr>
      </w:pPr>
    </w:p>
    <w:p w:rsidR="00F54B04" w:rsidP="00F54B04" w:rsidRDefault="00F54B04" w14:paraId="523D5D37" w14:textId="77777777">
      <w:pPr>
        <w:pStyle w:val="Default"/>
        <w:pageBreakBefore/>
        <w:rPr>
          <w:color w:val="auto"/>
          <w:sz w:val="28"/>
          <w:szCs w:val="28"/>
        </w:rPr>
      </w:pPr>
      <w:r>
        <w:rPr>
          <w:b/>
          <w:bCs/>
          <w:color w:val="auto"/>
          <w:sz w:val="28"/>
          <w:szCs w:val="28"/>
        </w:rPr>
        <w:lastRenderedPageBreak/>
        <w:t xml:space="preserve">Useful links: </w:t>
      </w:r>
    </w:p>
    <w:p w:rsidR="00113381" w:rsidP="00F54B04" w:rsidRDefault="00B957A2" w14:paraId="2501DCB2" w14:textId="49F17A44">
      <w:pPr>
        <w:pStyle w:val="Default"/>
        <w:rPr>
          <w:b/>
          <w:bCs/>
          <w:color w:val="auto"/>
          <w:sz w:val="20"/>
          <w:szCs w:val="20"/>
        </w:rPr>
      </w:pPr>
      <w:hyperlink w:history="1" r:id="rId10">
        <w:r w:rsidRPr="00D55D86" w:rsidR="00113381">
          <w:rPr>
            <w:rStyle w:val="Hyperlink"/>
            <w:b/>
            <w:bCs/>
            <w:sz w:val="20"/>
            <w:szCs w:val="20"/>
          </w:rPr>
          <w:t>www.cumbria.gov.uk</w:t>
        </w:r>
      </w:hyperlink>
    </w:p>
    <w:p w:rsidR="00113381" w:rsidP="00F54B04" w:rsidRDefault="00B957A2" w14:paraId="5239F9C0" w14:textId="2A78807C">
      <w:pPr>
        <w:pStyle w:val="Default"/>
        <w:rPr>
          <w:b/>
          <w:bCs/>
          <w:color w:val="auto"/>
          <w:sz w:val="20"/>
          <w:szCs w:val="20"/>
        </w:rPr>
      </w:pPr>
      <w:hyperlink w:history="1" r:id="rId11">
        <w:r w:rsidRPr="00D55D86" w:rsidR="00113381">
          <w:rPr>
            <w:rStyle w:val="Hyperlink"/>
            <w:b/>
            <w:bCs/>
            <w:sz w:val="20"/>
            <w:szCs w:val="20"/>
          </w:rPr>
          <w:t>www.countryside.gov.uk</w:t>
        </w:r>
      </w:hyperlink>
    </w:p>
    <w:p w:rsidR="00113381" w:rsidP="00F54B04" w:rsidRDefault="00B957A2" w14:paraId="65B239ED" w14:textId="6086985B">
      <w:pPr>
        <w:pStyle w:val="Default"/>
        <w:rPr>
          <w:b/>
          <w:bCs/>
          <w:color w:val="auto"/>
          <w:sz w:val="20"/>
          <w:szCs w:val="20"/>
        </w:rPr>
      </w:pPr>
      <w:hyperlink w:history="1" r:id="rId12">
        <w:r w:rsidRPr="00D55D86" w:rsidR="00113381">
          <w:rPr>
            <w:rStyle w:val="Hyperlink"/>
            <w:b/>
            <w:bCs/>
            <w:sz w:val="20"/>
            <w:szCs w:val="20"/>
          </w:rPr>
          <w:t>www.thebmc.co.uk</w:t>
        </w:r>
      </w:hyperlink>
    </w:p>
    <w:p w:rsidR="00113381" w:rsidP="00F54B04" w:rsidRDefault="00B957A2" w14:paraId="66AC1B1D" w14:textId="74D929A9">
      <w:pPr>
        <w:pStyle w:val="Default"/>
        <w:rPr>
          <w:b/>
          <w:bCs/>
          <w:color w:val="auto"/>
          <w:sz w:val="20"/>
          <w:szCs w:val="20"/>
        </w:rPr>
      </w:pPr>
      <w:hyperlink w:history="1" r:id="rId13">
        <w:r w:rsidRPr="00D55D86" w:rsidR="00113381">
          <w:rPr>
            <w:rStyle w:val="Hyperlink"/>
            <w:b/>
            <w:bCs/>
            <w:sz w:val="20"/>
            <w:szCs w:val="20"/>
          </w:rPr>
          <w:t>www.visitcumbria.com</w:t>
        </w:r>
      </w:hyperlink>
    </w:p>
    <w:p w:rsidR="00113381" w:rsidP="00F54B04" w:rsidRDefault="00B957A2" w14:paraId="787AEAFF" w14:textId="090B0327">
      <w:pPr>
        <w:pStyle w:val="Default"/>
        <w:rPr>
          <w:b/>
          <w:bCs/>
          <w:color w:val="auto"/>
          <w:sz w:val="20"/>
          <w:szCs w:val="20"/>
        </w:rPr>
      </w:pPr>
      <w:hyperlink w:history="1" r:id="rId14">
        <w:r w:rsidRPr="00D55D86" w:rsidR="00113381">
          <w:rPr>
            <w:rStyle w:val="Hyperlink"/>
            <w:b/>
            <w:bCs/>
            <w:sz w:val="20"/>
            <w:szCs w:val="20"/>
          </w:rPr>
          <w:t>www.lake-district.gov.uk</w:t>
        </w:r>
      </w:hyperlink>
    </w:p>
    <w:p w:rsidR="00113381" w:rsidP="00F54B04" w:rsidRDefault="00B957A2" w14:paraId="6F8DA43D" w14:textId="19E4AE93">
      <w:pPr>
        <w:pStyle w:val="Default"/>
        <w:rPr>
          <w:b/>
          <w:bCs/>
          <w:color w:val="auto"/>
          <w:sz w:val="20"/>
          <w:szCs w:val="20"/>
        </w:rPr>
      </w:pPr>
      <w:hyperlink w:history="1" r:id="rId15">
        <w:r w:rsidRPr="00D55D86" w:rsidR="00113381">
          <w:rPr>
            <w:rStyle w:val="Hyperlink"/>
            <w:b/>
            <w:bCs/>
            <w:sz w:val="20"/>
            <w:szCs w:val="20"/>
          </w:rPr>
          <w:t>www.nationaltrust.org.uk</w:t>
        </w:r>
      </w:hyperlink>
    </w:p>
    <w:p w:rsidR="00113381" w:rsidP="00F54B04" w:rsidRDefault="00B957A2" w14:paraId="37AC0EED" w14:textId="453F0563">
      <w:pPr>
        <w:pStyle w:val="Default"/>
        <w:rPr>
          <w:b/>
          <w:bCs/>
          <w:color w:val="auto"/>
          <w:sz w:val="20"/>
          <w:szCs w:val="20"/>
        </w:rPr>
      </w:pPr>
      <w:hyperlink w:history="1" r:id="rId16">
        <w:r w:rsidRPr="00D55D86" w:rsidR="00113381">
          <w:rPr>
            <w:rStyle w:val="Hyperlink"/>
            <w:b/>
            <w:bCs/>
            <w:sz w:val="20"/>
            <w:szCs w:val="20"/>
          </w:rPr>
          <w:t>www.ramblers.org.uk</w:t>
        </w:r>
      </w:hyperlink>
    </w:p>
    <w:p w:rsidR="00113381" w:rsidP="00F54B04" w:rsidRDefault="00B957A2" w14:paraId="4F4E1BA5" w14:textId="78ABDD3C">
      <w:pPr>
        <w:pStyle w:val="Default"/>
        <w:rPr>
          <w:b/>
          <w:bCs/>
          <w:color w:val="auto"/>
          <w:sz w:val="20"/>
          <w:szCs w:val="20"/>
        </w:rPr>
      </w:pPr>
      <w:hyperlink w:history="1" r:id="rId17">
        <w:r w:rsidRPr="00D55D86" w:rsidR="00113381">
          <w:rPr>
            <w:rStyle w:val="Hyperlink"/>
            <w:b/>
            <w:bCs/>
            <w:sz w:val="20"/>
            <w:szCs w:val="20"/>
          </w:rPr>
          <w:t>www.forestry.gov.uk</w:t>
        </w:r>
      </w:hyperlink>
    </w:p>
    <w:p w:rsidR="00113381" w:rsidP="00F54B04" w:rsidRDefault="00B957A2" w14:paraId="70154905" w14:textId="64C79C3E">
      <w:pPr>
        <w:pStyle w:val="Default"/>
        <w:rPr>
          <w:b/>
          <w:bCs/>
          <w:color w:val="auto"/>
          <w:sz w:val="20"/>
          <w:szCs w:val="20"/>
        </w:rPr>
      </w:pPr>
      <w:hyperlink w:history="1" r:id="rId18">
        <w:r w:rsidRPr="00D55D86" w:rsidR="00113381">
          <w:rPr>
            <w:rStyle w:val="Hyperlink"/>
            <w:b/>
            <w:bCs/>
            <w:sz w:val="20"/>
            <w:szCs w:val="20"/>
          </w:rPr>
          <w:t>www.openbritain.gov.uk</w:t>
        </w:r>
      </w:hyperlink>
    </w:p>
    <w:p w:rsidR="00113381" w:rsidP="00F54B04" w:rsidRDefault="00B957A2" w14:paraId="2FEA6201" w14:textId="3295D266">
      <w:pPr>
        <w:pStyle w:val="Default"/>
        <w:rPr>
          <w:b/>
          <w:bCs/>
          <w:color w:val="auto"/>
          <w:sz w:val="20"/>
          <w:szCs w:val="20"/>
        </w:rPr>
      </w:pPr>
      <w:hyperlink w:history="1" r:id="rId19">
        <w:r w:rsidRPr="00D55D86" w:rsidR="00113381">
          <w:rPr>
            <w:rStyle w:val="Hyperlink"/>
            <w:b/>
            <w:bCs/>
            <w:sz w:val="20"/>
            <w:szCs w:val="20"/>
          </w:rPr>
          <w:t>www.cumbria.gov.uk/news/footandmouth/roads/footpaths.htm</w:t>
        </w:r>
      </w:hyperlink>
    </w:p>
    <w:p w:rsidRPr="00113381" w:rsidR="00F54B04" w:rsidP="00F54B04" w:rsidRDefault="00B957A2" w14:paraId="70A84C05" w14:textId="59A8CDDB">
      <w:pPr>
        <w:pStyle w:val="Default"/>
        <w:rPr>
          <w:b/>
          <w:bCs/>
          <w:color w:val="auto"/>
          <w:sz w:val="20"/>
          <w:szCs w:val="20"/>
        </w:rPr>
      </w:pPr>
      <w:hyperlink w:history="1" r:id="rId20">
        <w:r w:rsidRPr="00D55D86" w:rsidR="00113381">
          <w:rPr>
            <w:rStyle w:val="Hyperlink"/>
            <w:b/>
            <w:bCs/>
            <w:sz w:val="20"/>
            <w:szCs w:val="20"/>
          </w:rPr>
          <w:t>www.golakes.co.uk</w:t>
        </w:r>
      </w:hyperlink>
      <w:r w:rsidR="00F54B04">
        <w:rPr>
          <w:b/>
          <w:bCs/>
          <w:color w:val="auto"/>
          <w:sz w:val="20"/>
          <w:szCs w:val="2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57"/>
      </w:tblGrid>
      <w:tr w:rsidR="00F54B04" w:rsidTr="37003B0F" w14:paraId="2E566058" w14:textId="77777777">
        <w:trPr>
          <w:trHeight w:val="1183"/>
        </w:trPr>
        <w:tc>
          <w:tcPr>
            <w:tcW w:w="8357" w:type="dxa"/>
            <w:tcMar/>
          </w:tcPr>
          <w:p w:rsidR="00113381" w:rsidRDefault="00B957A2" w14:paraId="3AEE639B" w14:textId="2337B6D0">
            <w:pPr>
              <w:pStyle w:val="Default"/>
              <w:rPr>
                <w:b/>
                <w:bCs/>
                <w:color w:val="auto"/>
                <w:sz w:val="20"/>
                <w:szCs w:val="20"/>
              </w:rPr>
            </w:pPr>
            <w:hyperlink w:history="1" r:id="rId21">
              <w:r w:rsidRPr="00D55D86" w:rsidR="00113381">
                <w:rPr>
                  <w:rStyle w:val="Hyperlink"/>
                  <w:b/>
                  <w:bCs/>
                  <w:sz w:val="20"/>
                  <w:szCs w:val="20"/>
                </w:rPr>
                <w:t>www.maff.gov.uk</w:t>
              </w:r>
            </w:hyperlink>
          </w:p>
          <w:p w:rsidR="00F54B04" w:rsidRDefault="00F54B04" w14:paraId="2A1506F0" w14:textId="3BEE2AD8">
            <w:pPr>
              <w:pStyle w:val="Default"/>
              <w:rPr>
                <w:b/>
                <w:bCs/>
                <w:color w:val="auto"/>
                <w:sz w:val="20"/>
                <w:szCs w:val="20"/>
              </w:rPr>
            </w:pPr>
            <w:r>
              <w:rPr>
                <w:b/>
                <w:bCs/>
                <w:color w:val="auto"/>
                <w:sz w:val="20"/>
                <w:szCs w:val="20"/>
              </w:rPr>
              <w:t xml:space="preserve"> </w:t>
            </w:r>
          </w:p>
          <w:p w:rsidR="00F54B04" w:rsidRDefault="00F54B04" w14:paraId="4346F228" w14:textId="77777777">
            <w:pPr>
              <w:pStyle w:val="Default"/>
              <w:rPr>
                <w:b/>
                <w:bCs/>
                <w:color w:val="auto"/>
                <w:sz w:val="20"/>
                <w:szCs w:val="20"/>
              </w:rPr>
            </w:pPr>
          </w:p>
          <w:p w:rsidR="00F54B04" w:rsidRDefault="00F54B04" w14:paraId="03795CD9" w14:textId="03B7F537">
            <w:pPr>
              <w:pStyle w:val="Default"/>
              <w:rPr>
                <w:sz w:val="28"/>
                <w:szCs w:val="28"/>
              </w:rPr>
            </w:pPr>
            <w:r>
              <w:rPr>
                <w:b/>
                <w:bCs/>
                <w:sz w:val="28"/>
                <w:szCs w:val="28"/>
              </w:rPr>
              <w:t xml:space="preserve">DofE resources </w:t>
            </w:r>
          </w:p>
          <w:p w:rsidR="00113381" w:rsidRDefault="00F54B04" w14:paraId="646274E9" w14:textId="2EB01A45">
            <w:pPr>
              <w:pStyle w:val="Default"/>
              <w:rPr>
                <w:b/>
                <w:bCs/>
                <w:sz w:val="20"/>
                <w:szCs w:val="20"/>
              </w:rPr>
            </w:pPr>
            <w:r>
              <w:rPr>
                <w:sz w:val="20"/>
                <w:szCs w:val="20"/>
              </w:rPr>
              <w:t>The current DofE expedition kit list can be downloaded from:</w:t>
            </w:r>
            <w:r w:rsidR="00113381">
              <w:rPr>
                <w:sz w:val="20"/>
                <w:szCs w:val="20"/>
              </w:rPr>
              <w:t xml:space="preserve"> </w:t>
            </w:r>
            <w:hyperlink w:history="1" r:id="rId22">
              <w:r w:rsidRPr="00D55D86" w:rsidR="00113381">
                <w:rPr>
                  <w:rStyle w:val="Hyperlink"/>
                  <w:b/>
                  <w:bCs/>
                  <w:sz w:val="20"/>
                  <w:szCs w:val="20"/>
                </w:rPr>
                <w:t>www.DofE.org/go/expeditionkit</w:t>
              </w:r>
            </w:hyperlink>
          </w:p>
          <w:p w:rsidR="00F54B04" w:rsidRDefault="00F54B04" w14:paraId="61EB9C37" w14:textId="717659DD">
            <w:pPr>
              <w:pStyle w:val="Default"/>
              <w:rPr>
                <w:sz w:val="20"/>
                <w:szCs w:val="20"/>
              </w:rPr>
            </w:pPr>
            <w:r>
              <w:rPr>
                <w:b/>
                <w:bCs/>
                <w:sz w:val="20"/>
                <w:szCs w:val="20"/>
              </w:rPr>
              <w:t xml:space="preserve"> </w:t>
            </w:r>
          </w:p>
          <w:p w:rsidR="00113381" w:rsidRDefault="00F54B04" w14:paraId="00113FB5" w14:textId="668B4B79">
            <w:pPr>
              <w:pStyle w:val="Default"/>
              <w:rPr>
                <w:b/>
                <w:bCs/>
                <w:sz w:val="20"/>
                <w:szCs w:val="20"/>
              </w:rPr>
            </w:pPr>
            <w:r>
              <w:rPr>
                <w:sz w:val="20"/>
                <w:szCs w:val="20"/>
              </w:rPr>
              <w:t xml:space="preserve">A range of expedition downloads, such as spare expedition safety cards, can be downloaded from: </w:t>
            </w:r>
            <w:hyperlink w:history="1" r:id="rId23">
              <w:r w:rsidRPr="00D55D86" w:rsidR="00113381">
                <w:rPr>
                  <w:rStyle w:val="Hyperlink"/>
                  <w:b/>
                  <w:bCs/>
                  <w:sz w:val="20"/>
                  <w:szCs w:val="20"/>
                </w:rPr>
                <w:t>www.DofE.org/go/downloads</w:t>
              </w:r>
            </w:hyperlink>
          </w:p>
          <w:p w:rsidR="00F54B04" w:rsidRDefault="00F54B04" w14:paraId="26D4CA57" w14:textId="720D3759">
            <w:pPr>
              <w:pStyle w:val="Default"/>
              <w:rPr>
                <w:sz w:val="20"/>
                <w:szCs w:val="20"/>
              </w:rPr>
            </w:pPr>
            <w:r>
              <w:rPr>
                <w:b/>
                <w:bCs/>
                <w:sz w:val="20"/>
                <w:szCs w:val="20"/>
              </w:rPr>
              <w:t xml:space="preserve"> </w:t>
            </w:r>
          </w:p>
          <w:p w:rsidR="00F54B04" w:rsidRDefault="00F54B04" w14:paraId="4C6335B6" w14:textId="77777777">
            <w:pPr>
              <w:pStyle w:val="Default"/>
              <w:rPr>
                <w:sz w:val="20"/>
                <w:szCs w:val="20"/>
              </w:rPr>
            </w:pPr>
            <w:r>
              <w:rPr>
                <w:sz w:val="20"/>
                <w:szCs w:val="20"/>
              </w:rPr>
              <w:t xml:space="preserve">Further information of the Expedition section can be found at: </w:t>
            </w:r>
            <w:r>
              <w:rPr>
                <w:b/>
                <w:bCs/>
                <w:sz w:val="20"/>
                <w:szCs w:val="20"/>
              </w:rPr>
              <w:t xml:space="preserve">www.DofE.org/expedition </w:t>
            </w:r>
          </w:p>
          <w:p w:rsidR="00F54B04" w:rsidRDefault="00F54B04" w14:paraId="1510533F" w14:textId="64902B86">
            <w:pPr>
              <w:pStyle w:val="Default"/>
              <w:rPr>
                <w:sz w:val="20"/>
                <w:szCs w:val="20"/>
              </w:rPr>
            </w:pPr>
          </w:p>
        </w:tc>
      </w:tr>
      <w:tr w:rsidR="37003B0F" w:rsidTr="37003B0F" w14:paraId="0F705530">
        <w:trPr>
          <w:trHeight w:val="1183"/>
        </w:trPr>
        <w:tc>
          <w:tcPr>
            <w:tcW w:w="8357" w:type="dxa"/>
            <w:tcMar/>
          </w:tcPr>
          <w:p w:rsidR="37003B0F" w:rsidP="37003B0F" w:rsidRDefault="37003B0F" w14:paraId="358A80A0" w14:textId="045EDA7E">
            <w:pPr>
              <w:pStyle w:val="Default"/>
              <w:rPr>
                <w:rFonts w:ascii="Arial" w:hAnsi="Arial" w:eastAsia="Calibri" w:cs="Arial"/>
                <w:b w:val="1"/>
                <w:bCs w:val="1"/>
                <w:color w:val="000000" w:themeColor="text1" w:themeTint="FF" w:themeShade="FF"/>
                <w:sz w:val="24"/>
                <w:szCs w:val="24"/>
              </w:rPr>
            </w:pPr>
          </w:p>
        </w:tc>
      </w:tr>
    </w:tbl>
    <w:p w:rsidR="003E0C2E" w:rsidRDefault="003E0C2E" w14:paraId="14B368AD" w14:textId="77777777"/>
    <w:sectPr w:rsidR="003E0C2E">
      <w:headerReference w:type="default" r:id="rId24"/>
      <w:footerReference w:type="default" r:id="rId2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0B02" w:rsidP="00DB0B02" w:rsidRDefault="00DB0B02" w14:paraId="7FB02F9C" w14:textId="77777777">
      <w:r>
        <w:separator/>
      </w:r>
    </w:p>
  </w:endnote>
  <w:endnote w:type="continuationSeparator" w:id="0">
    <w:p w:rsidR="00DB0B02" w:rsidP="00DB0B02" w:rsidRDefault="00DB0B02" w14:paraId="4B14AC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14E4" w:rsidP="00C814E4" w:rsidRDefault="00C814E4" w14:paraId="6522F491" w14:textId="6585D87E">
    <w:pPr>
      <w:pStyle w:val="Default"/>
      <w:rPr>
        <w:color w:val="auto"/>
        <w:sz w:val="16"/>
        <w:szCs w:val="16"/>
      </w:rPr>
    </w:pPr>
    <w:r>
      <w:rPr>
        <w:color w:val="auto"/>
        <w:sz w:val="16"/>
        <w:szCs w:val="16"/>
      </w:rPr>
      <w:t xml:space="preserve">The Duke of Edinburgh’s Award is a Registered Charity No: 1072490, and in Scotland No: SC038254, and a Royal Charter Corporation No: RC000806 February 2011 </w:t>
    </w:r>
    <w:r w:rsidRPr="00C814E4">
      <w:rPr>
        <w:color w:val="auto"/>
        <w:sz w:val="16"/>
        <w:szCs w:val="16"/>
      </w:rPr>
      <w:t xml:space="preserve">Page </w:t>
    </w:r>
    <w:r w:rsidRPr="00C814E4">
      <w:rPr>
        <w:b/>
        <w:bCs/>
        <w:color w:val="auto"/>
        <w:sz w:val="16"/>
        <w:szCs w:val="16"/>
      </w:rPr>
      <w:fldChar w:fldCharType="begin"/>
    </w:r>
    <w:r w:rsidRPr="00C814E4">
      <w:rPr>
        <w:b/>
        <w:bCs/>
        <w:color w:val="auto"/>
        <w:sz w:val="16"/>
        <w:szCs w:val="16"/>
      </w:rPr>
      <w:instrText xml:space="preserve"> PAGE  \* Arabic  \* MERGEFORMAT </w:instrText>
    </w:r>
    <w:r w:rsidRPr="00C814E4">
      <w:rPr>
        <w:b/>
        <w:bCs/>
        <w:color w:val="auto"/>
        <w:sz w:val="16"/>
        <w:szCs w:val="16"/>
      </w:rPr>
      <w:fldChar w:fldCharType="separate"/>
    </w:r>
    <w:r w:rsidRPr="00C814E4">
      <w:rPr>
        <w:b/>
        <w:bCs/>
        <w:noProof/>
        <w:color w:val="auto"/>
        <w:sz w:val="16"/>
        <w:szCs w:val="16"/>
      </w:rPr>
      <w:t>1</w:t>
    </w:r>
    <w:r w:rsidRPr="00C814E4">
      <w:rPr>
        <w:b/>
        <w:bCs/>
        <w:color w:val="auto"/>
        <w:sz w:val="16"/>
        <w:szCs w:val="16"/>
      </w:rPr>
      <w:fldChar w:fldCharType="end"/>
    </w:r>
    <w:r w:rsidRPr="00C814E4">
      <w:rPr>
        <w:color w:val="auto"/>
        <w:sz w:val="16"/>
        <w:szCs w:val="16"/>
      </w:rPr>
      <w:t xml:space="preserve"> of </w:t>
    </w:r>
    <w:r w:rsidRPr="00C814E4">
      <w:rPr>
        <w:b/>
        <w:bCs/>
        <w:color w:val="auto"/>
        <w:sz w:val="16"/>
        <w:szCs w:val="16"/>
      </w:rPr>
      <w:fldChar w:fldCharType="begin"/>
    </w:r>
    <w:r w:rsidRPr="00C814E4">
      <w:rPr>
        <w:b/>
        <w:bCs/>
        <w:color w:val="auto"/>
        <w:sz w:val="16"/>
        <w:szCs w:val="16"/>
      </w:rPr>
      <w:instrText xml:space="preserve"> NUMPAGES  \* Arabic  \* MERGEFORMAT </w:instrText>
    </w:r>
    <w:r w:rsidRPr="00C814E4">
      <w:rPr>
        <w:b/>
        <w:bCs/>
        <w:color w:val="auto"/>
        <w:sz w:val="16"/>
        <w:szCs w:val="16"/>
      </w:rPr>
      <w:fldChar w:fldCharType="separate"/>
    </w:r>
    <w:r w:rsidRPr="00C814E4">
      <w:rPr>
        <w:b/>
        <w:bCs/>
        <w:noProof/>
        <w:color w:val="auto"/>
        <w:sz w:val="16"/>
        <w:szCs w:val="16"/>
      </w:rPr>
      <w:t>2</w:t>
    </w:r>
    <w:r w:rsidRPr="00C814E4">
      <w:rPr>
        <w:b/>
        <w:bCs/>
        <w:color w:val="auto"/>
        <w:sz w:val="16"/>
        <w:szCs w:val="16"/>
      </w:rPr>
      <w:fldChar w:fldCharType="end"/>
    </w:r>
  </w:p>
  <w:p w:rsidR="00C814E4" w:rsidRDefault="00C814E4" w14:paraId="3482D1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0B02" w:rsidP="00DB0B02" w:rsidRDefault="00DB0B02" w14:paraId="745E7D39" w14:textId="77777777">
      <w:r>
        <w:separator/>
      </w:r>
    </w:p>
  </w:footnote>
  <w:footnote w:type="continuationSeparator" w:id="0">
    <w:p w:rsidR="00DB0B02" w:rsidP="00DB0B02" w:rsidRDefault="00DB0B02" w14:paraId="32B2574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0B02" w:rsidP="00DB0B02" w:rsidRDefault="00DB0B02" w14:paraId="49172F10" w14:textId="77777777">
    <w:pPr>
      <w:pStyle w:val="Default"/>
    </w:pPr>
  </w:p>
  <w:p w:rsidR="00DB0B02" w:rsidP="00DB0B02" w:rsidRDefault="00DB0B02" w14:paraId="19755474" w14:textId="77777777">
    <w:pPr>
      <w:pStyle w:val="Default"/>
      <w:rPr>
        <w:sz w:val="16"/>
        <w:szCs w:val="16"/>
      </w:rPr>
    </w:pPr>
    <w:r>
      <w:t xml:space="preserve"> </w:t>
    </w:r>
    <w:r>
      <w:rPr>
        <w:sz w:val="16"/>
        <w:szCs w:val="16"/>
      </w:rPr>
      <w:t xml:space="preserve">Cumbria Expedition Area information </w:t>
    </w:r>
  </w:p>
  <w:p w:rsidR="00DB0B02" w:rsidRDefault="00DB0B02" w14:paraId="6EEB377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04"/>
    <w:rsid w:val="00052935"/>
    <w:rsid w:val="00113381"/>
    <w:rsid w:val="003E0C2E"/>
    <w:rsid w:val="00625453"/>
    <w:rsid w:val="00663591"/>
    <w:rsid w:val="007D6688"/>
    <w:rsid w:val="00B24844"/>
    <w:rsid w:val="00B62131"/>
    <w:rsid w:val="00B957A2"/>
    <w:rsid w:val="00C814E4"/>
    <w:rsid w:val="00D55A27"/>
    <w:rsid w:val="00DB0B02"/>
    <w:rsid w:val="00F54B04"/>
    <w:rsid w:val="37003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A971"/>
  <w15:chartTrackingRefBased/>
  <w15:docId w15:val="{38A6C19F-DA1B-406C-8726-3A5B4ECC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14E4"/>
    <w:pPr>
      <w:spacing w:after="0" w:line="240" w:lineRule="auto"/>
    </w:pPr>
    <w:rPr>
      <w:rFonts w:eastAsiaTheme="minorEastAsia"/>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F54B0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B0B02"/>
    <w:pPr>
      <w:tabs>
        <w:tab w:val="center" w:pos="4513"/>
        <w:tab w:val="right" w:pos="9026"/>
      </w:tabs>
    </w:pPr>
    <w:rPr>
      <w:rFonts w:eastAsiaTheme="minorHAnsi"/>
      <w:sz w:val="22"/>
      <w:szCs w:val="22"/>
      <w:lang w:val="en-GB"/>
    </w:rPr>
  </w:style>
  <w:style w:type="character" w:styleId="HeaderChar" w:customStyle="1">
    <w:name w:val="Header Char"/>
    <w:basedOn w:val="DefaultParagraphFont"/>
    <w:link w:val="Header"/>
    <w:uiPriority w:val="99"/>
    <w:rsid w:val="00DB0B02"/>
  </w:style>
  <w:style w:type="paragraph" w:styleId="Footer">
    <w:name w:val="footer"/>
    <w:basedOn w:val="Normal"/>
    <w:link w:val="FooterChar"/>
    <w:uiPriority w:val="99"/>
    <w:unhideWhenUsed/>
    <w:rsid w:val="00DB0B02"/>
    <w:pPr>
      <w:tabs>
        <w:tab w:val="center" w:pos="4513"/>
        <w:tab w:val="right" w:pos="9026"/>
      </w:tabs>
    </w:pPr>
    <w:rPr>
      <w:rFonts w:eastAsiaTheme="minorHAnsi"/>
      <w:sz w:val="22"/>
      <w:szCs w:val="22"/>
      <w:lang w:val="en-GB"/>
    </w:rPr>
  </w:style>
  <w:style w:type="character" w:styleId="FooterChar" w:customStyle="1">
    <w:name w:val="Footer Char"/>
    <w:basedOn w:val="DefaultParagraphFont"/>
    <w:link w:val="Footer"/>
    <w:uiPriority w:val="99"/>
    <w:rsid w:val="00DB0B02"/>
  </w:style>
  <w:style w:type="character" w:styleId="Hyperlink">
    <w:name w:val="Hyperlink"/>
    <w:basedOn w:val="DefaultParagraphFont"/>
    <w:uiPriority w:val="99"/>
    <w:unhideWhenUsed/>
    <w:rsid w:val="00113381"/>
    <w:rPr>
      <w:color w:val="0563C1" w:themeColor="hyperlink"/>
      <w:u w:val="single"/>
    </w:rPr>
  </w:style>
  <w:style w:type="character" w:styleId="UnresolvedMention">
    <w:name w:val="Unresolved Mention"/>
    <w:basedOn w:val="DefaultParagraphFont"/>
    <w:uiPriority w:val="99"/>
    <w:semiHidden/>
    <w:unhideWhenUsed/>
    <w:rsid w:val="00113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visitcumbria.com" TargetMode="External" Id="rId13" /><Relationship Type="http://schemas.openxmlformats.org/officeDocument/2006/relationships/hyperlink" Target="http://www.openbritain.gov.uk"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www.maff.gov.uk" TargetMode="External" Id="rId21" /><Relationship Type="http://schemas.openxmlformats.org/officeDocument/2006/relationships/footnotes" Target="footnotes.xml" Id="rId7" /><Relationship Type="http://schemas.openxmlformats.org/officeDocument/2006/relationships/hyperlink" Target="http://www.thebmc.co.uk" TargetMode="External" Id="rId12" /><Relationship Type="http://schemas.openxmlformats.org/officeDocument/2006/relationships/hyperlink" Target="http://www.forestry.gov.uk"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www.ramblers.org.uk" TargetMode="External" Id="rId16" /><Relationship Type="http://schemas.openxmlformats.org/officeDocument/2006/relationships/hyperlink" Target="http://www.golakes.co.uk"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countryside.gov.uk" TargetMode="External" Id="rId11" /><Relationship Type="http://schemas.openxmlformats.org/officeDocument/2006/relationships/header" Target="header1.xml" Id="rId24" /><Relationship Type="http://schemas.openxmlformats.org/officeDocument/2006/relationships/settings" Target="settings.xml" Id="rId5" /><Relationship Type="http://schemas.openxmlformats.org/officeDocument/2006/relationships/hyperlink" Target="http://www.nationaltrust.org.uk" TargetMode="External" Id="rId15" /><Relationship Type="http://schemas.openxmlformats.org/officeDocument/2006/relationships/hyperlink" Target="http://www.DofE.org/go/downloads" TargetMode="External" Id="rId23" /><Relationship Type="http://schemas.openxmlformats.org/officeDocument/2006/relationships/hyperlink" Target="http://www.cumbria.gov.uk" TargetMode="External" Id="rId10" /><Relationship Type="http://schemas.openxmlformats.org/officeDocument/2006/relationships/hyperlink" Target="http://www.cumbria.gov.uk/news/footandmouth/roads/footpaths.htm" TargetMode="External" Id="rId19" /><Relationship Type="http://schemas.openxmlformats.org/officeDocument/2006/relationships/styles" Target="styles.xml" Id="rId4" /><Relationship Type="http://schemas.openxmlformats.org/officeDocument/2006/relationships/hyperlink" Target="http://www.lake-district.gov.uk" TargetMode="External" Id="rId14" /><Relationship Type="http://schemas.openxmlformats.org/officeDocument/2006/relationships/hyperlink" Target="http://www.DofE.org/go/expeditionkit" TargetMode="External" Id="rId22" /><Relationship Type="http://schemas.openxmlformats.org/officeDocument/2006/relationships/theme" Target="theme/theme1.xml" Id="rId27" /><Relationship Type="http://schemas.openxmlformats.org/officeDocument/2006/relationships/image" Target="/media/image2.jpg" Id="Re31cf336872846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8E115355F8047B9AA824F5C643CAD" ma:contentTypeVersion="12" ma:contentTypeDescription="Create a new document." ma:contentTypeScope="" ma:versionID="f8f27a7e52faacdd49ed18b2674dee3a">
  <xsd:schema xmlns:xsd="http://www.w3.org/2001/XMLSchema" xmlns:xs="http://www.w3.org/2001/XMLSchema" xmlns:p="http://schemas.microsoft.com/office/2006/metadata/properties" xmlns:ns2="5819e71d-f5ec-485d-9b2e-a74dfa7fe185" xmlns:ns3="fcd19bee-0caf-49f9-b91c-7c4bf7df503d" targetNamespace="http://schemas.microsoft.com/office/2006/metadata/properties" ma:root="true" ma:fieldsID="72d55d4e9a243eb48f247ec5e5edec00" ns2:_="" ns3:_="">
    <xsd:import namespace="5819e71d-f5ec-485d-9b2e-a74dfa7fe185"/>
    <xsd:import namespace="fcd19bee-0caf-49f9-b91c-7c4bf7df50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9e71d-f5ec-485d-9b2e-a74dfa7f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19bee-0caf-49f9-b91c-7c4bf7df50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97A1F-07C6-4ED6-83BE-CC6814988492}"/>
</file>

<file path=customXml/itemProps2.xml><?xml version="1.0" encoding="utf-8"?>
<ds:datastoreItem xmlns:ds="http://schemas.openxmlformats.org/officeDocument/2006/customXml" ds:itemID="{D288D029-1874-4EFA-98F2-21B773016499}">
  <ds:schemaRefs>
    <ds:schemaRef ds:uri="http://schemas.microsoft.com/sharepoint/v3/contenttype/forms"/>
  </ds:schemaRefs>
</ds:datastoreItem>
</file>

<file path=customXml/itemProps3.xml><?xml version="1.0" encoding="utf-8"?>
<ds:datastoreItem xmlns:ds="http://schemas.openxmlformats.org/officeDocument/2006/customXml" ds:itemID="{C3FAA213-C5AD-4860-9860-2317CD6639E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Christy Miles</dc:creator>
  <keywords/>
  <dc:description/>
  <lastModifiedBy>Vicky Ellaway-Barnard</lastModifiedBy>
  <revision>12</revision>
  <dcterms:created xsi:type="dcterms:W3CDTF">2021-03-17T13:15:00.0000000Z</dcterms:created>
  <dcterms:modified xsi:type="dcterms:W3CDTF">2021-03-23T10:42:25.3419524Z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0x010100AE38E115355F8047B9AA824F5C643CAD</vt:lpwstr>
  </property>
</Properties>
</file>